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tabs>
          <w:tab w:val="right" w:pos="9639"/>
        </w:tabs>
        <w:spacing w:after="0"/>
        <w:outlineLvl w:val="0"/>
        <w:rPr>
          <w:b/>
          <w:sz w:val="24"/>
          <w:lang w:val="en-US" w:eastAsia="zh-CN"/>
        </w:rPr>
      </w:pPr>
      <w:bookmarkStart w:id="0" w:name="_Hlk40295327"/>
      <w:bookmarkEnd w:id="0"/>
      <w:bookmarkStart w:id="1" w:name="OLE_LINK6"/>
      <w:bookmarkStart w:id="2" w:name="_Toc193024528"/>
      <w:r>
        <w:rPr>
          <w:b/>
          <w:sz w:val="24"/>
        </w:rPr>
        <w:t>3GPP TSG-RAN WG4 Meeting # 1</w:t>
      </w:r>
      <w:r>
        <w:rPr>
          <w:rFonts w:hint="eastAsia"/>
          <w:b/>
          <w:sz w:val="24"/>
          <w:lang w:val="en-US" w:eastAsia="zh-CN"/>
        </w:rPr>
        <w:t xml:space="preserve">11                                 </w:t>
      </w:r>
      <w:r>
        <w:rPr>
          <w:rFonts w:hint="eastAsia"/>
          <w:b/>
          <w:sz w:val="24"/>
          <w:lang w:val="en-US" w:eastAsia="zh-CN"/>
        </w:rPr>
        <w:tab/>
      </w:r>
      <w:r>
        <w:rPr>
          <w:rFonts w:hint="eastAsia"/>
          <w:b/>
          <w:sz w:val="24"/>
          <w:lang w:val="en-US" w:eastAsia="zh-CN"/>
        </w:rPr>
        <w:t>R4-2410652</w:t>
      </w:r>
    </w:p>
    <w:p>
      <w:pPr>
        <w:pStyle w:val="190"/>
        <w:tabs>
          <w:tab w:val="right" w:pos="9639"/>
        </w:tabs>
        <w:spacing w:after="0"/>
        <w:outlineLvl w:val="0"/>
        <w:rPr>
          <w:b/>
          <w:sz w:val="24"/>
          <w:szCs w:val="24"/>
          <w:lang w:eastAsia="zh-CN"/>
        </w:rPr>
      </w:pPr>
      <w:r>
        <w:rPr>
          <w:rFonts w:hint="eastAsia"/>
          <w:b/>
          <w:sz w:val="24"/>
          <w:lang w:val="en-US" w:eastAsia="zh-CN"/>
        </w:rPr>
        <w:t>Fukuako</w:t>
      </w:r>
      <w:r>
        <w:rPr>
          <w:b/>
          <w:sz w:val="24"/>
          <w:lang w:eastAsia="zh-CN"/>
        </w:rPr>
        <w:t xml:space="preserve">, </w:t>
      </w:r>
      <w:r>
        <w:rPr>
          <w:rFonts w:hint="eastAsia"/>
          <w:b/>
          <w:sz w:val="24"/>
          <w:lang w:val="en-US" w:eastAsia="zh-CN"/>
        </w:rPr>
        <w:t>Japan</w:t>
      </w:r>
      <w:r>
        <w:rPr>
          <w:b/>
          <w:sz w:val="24"/>
          <w:lang w:eastAsia="zh-CN"/>
        </w:rPr>
        <w:t xml:space="preserve">, </w:t>
      </w:r>
      <w:r>
        <w:rPr>
          <w:rFonts w:hint="eastAsia"/>
          <w:b/>
          <w:sz w:val="24"/>
          <w:lang w:val="en-US" w:eastAsia="zh-CN"/>
        </w:rPr>
        <w:t xml:space="preserve">May. 20th </w:t>
      </w:r>
      <w:r>
        <w:rPr>
          <w:b/>
          <w:sz w:val="24"/>
          <w:lang w:eastAsia="zh-CN"/>
        </w:rPr>
        <w:t xml:space="preserve">– </w:t>
      </w:r>
      <w:r>
        <w:rPr>
          <w:rFonts w:hint="eastAsia"/>
          <w:b/>
          <w:sz w:val="24"/>
          <w:lang w:val="en-US" w:eastAsia="zh-CN"/>
        </w:rPr>
        <w:t>24th</w:t>
      </w:r>
      <w:r>
        <w:rPr>
          <w:b/>
          <w:sz w:val="24"/>
          <w:lang w:eastAsia="zh-CN"/>
        </w:rPr>
        <w:t>, 202</w:t>
      </w:r>
      <w:r>
        <w:rPr>
          <w:rFonts w:hint="eastAsia"/>
          <w:b/>
          <w:sz w:val="24"/>
          <w:lang w:val="en-US" w:eastAsia="zh-CN"/>
        </w:rPr>
        <w:t>4</w:t>
      </w:r>
    </w:p>
    <w:bookmarkEnd w:id="1"/>
    <w:p>
      <w:pPr>
        <w:pStyle w:val="53"/>
        <w:keepNext/>
        <w:keepLines/>
        <w:widowControl/>
        <w:tabs>
          <w:tab w:val="right" w:pos="9781"/>
          <w:tab w:val="right" w:pos="13323"/>
        </w:tabs>
        <w:spacing w:after="0"/>
        <w:outlineLvl w:val="0"/>
        <w:rPr>
          <w:rFonts w:eastAsia="宋体" w:cs="Arial"/>
          <w:sz w:val="24"/>
          <w:szCs w:val="24"/>
          <w:lang w:val="en-US" w:eastAsia="zh-CN"/>
        </w:rPr>
      </w:pPr>
      <w:r>
        <w:rPr>
          <w:rFonts w:hint="eastAsia" w:eastAsia="宋体" w:cs="Arial"/>
          <w:sz w:val="24"/>
          <w:szCs w:val="24"/>
          <w:lang w:val="en-US" w:eastAsia="zh-CN"/>
        </w:rPr>
        <w:t xml:space="preserve"> </w:t>
      </w:r>
    </w:p>
    <w:p>
      <w:pPr>
        <w:pStyle w:val="53"/>
        <w:keepNext/>
        <w:keepLines/>
        <w:tabs>
          <w:tab w:val="right" w:pos="9781"/>
          <w:tab w:val="right" w:pos="13323"/>
        </w:tabs>
        <w:spacing w:after="0"/>
        <w:rPr>
          <w:rFonts w:eastAsia="宋体" w:cs="Arial"/>
          <w:sz w:val="24"/>
          <w:szCs w:val="24"/>
          <w:lang w:val="en-US" w:eastAsia="zh-CN"/>
        </w:rPr>
      </w:pPr>
    </w:p>
    <w:p>
      <w:pPr>
        <w:pStyle w:val="53"/>
        <w:keepNext/>
        <w:keepLines/>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eastAsia="宋体"/>
          <w:b w:val="0"/>
          <w:sz w:val="22"/>
          <w:szCs w:val="22"/>
          <w:lang w:eastAsia="zh-CN"/>
        </w:rPr>
        <w:t>ZTE</w:t>
      </w:r>
      <w:r>
        <w:rPr>
          <w:rFonts w:hint="eastAsia" w:eastAsia="宋体"/>
          <w:b w:val="0"/>
          <w:sz w:val="22"/>
          <w:szCs w:val="22"/>
          <w:lang w:eastAsia="zh-CN"/>
        </w:rPr>
        <w:t xml:space="preserve"> Corporation</w:t>
      </w:r>
      <w:r>
        <w:rPr>
          <w:rFonts w:hint="eastAsia" w:eastAsia="宋体"/>
          <w:b w:val="0"/>
          <w:sz w:val="22"/>
          <w:szCs w:val="22"/>
          <w:lang w:val="en-US" w:eastAsia="zh-CN"/>
        </w:rPr>
        <w:t>,</w:t>
      </w:r>
      <w:r>
        <w:rPr>
          <w:rFonts w:hint="eastAsia" w:eastAsia="宋体"/>
          <w:b w:val="0"/>
          <w:sz w:val="22"/>
          <w:szCs w:val="22"/>
          <w:lang w:eastAsia="en-GB"/>
        </w:rPr>
        <w:t xml:space="preserve"> Skyworks, Nokia, Huawei, HiSilicon</w:t>
      </w:r>
    </w:p>
    <w:p>
      <w:pPr>
        <w:pStyle w:val="53"/>
        <w:keepNext/>
        <w:keepLines/>
        <w:spacing w:after="48" w:afterLines="20"/>
        <w:ind w:left="2127" w:hanging="2127"/>
        <w:jc w:val="both"/>
        <w:outlineLvl w:val="0"/>
        <w:rPr>
          <w:rFonts w:eastAsia="宋体"/>
          <w:b w:val="0"/>
          <w:sz w:val="22"/>
          <w:szCs w:val="22"/>
          <w:lang w:val="en-US" w:eastAsia="zh-CN"/>
        </w:rPr>
      </w:pPr>
      <w:r>
        <w:rPr>
          <w:sz w:val="22"/>
          <w:szCs w:val="22"/>
          <w:lang w:val="en-US" w:eastAsia="zh-CN"/>
        </w:rPr>
        <w:t>Title:</w:t>
      </w:r>
      <w:r>
        <w:rPr>
          <w:rFonts w:hint="eastAsia"/>
          <w:sz w:val="22"/>
          <w:szCs w:val="22"/>
          <w:lang w:val="en-US" w:eastAsia="zh-CN"/>
        </w:rPr>
        <w:tab/>
      </w:r>
      <w:r>
        <w:rPr>
          <w:rFonts w:hint="eastAsia" w:eastAsia="宋体"/>
          <w:b w:val="0"/>
          <w:sz w:val="22"/>
          <w:szCs w:val="22"/>
          <w:lang w:val="en-US" w:eastAsia="zh-CN"/>
        </w:rPr>
        <w:t>WF on two band DL band combination template</w:t>
      </w:r>
    </w:p>
    <w:p>
      <w:pPr>
        <w:pStyle w:val="53"/>
        <w:keepNext/>
        <w:keepLines/>
        <w:tabs>
          <w:tab w:val="left" w:pos="2155"/>
        </w:tabs>
        <w:spacing w:after="48" w:afterLines="20"/>
        <w:ind w:left="2610" w:hanging="2610"/>
        <w:jc w:val="both"/>
        <w:outlineLvl w:val="0"/>
        <w:rPr>
          <w:rFonts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eastAsia="宋体"/>
          <w:b w:val="0"/>
          <w:sz w:val="22"/>
          <w:szCs w:val="22"/>
          <w:lang w:val="en-US" w:eastAsia="zh-CN"/>
        </w:rPr>
        <w:t>6.1.2</w:t>
      </w:r>
    </w:p>
    <w:p>
      <w:pPr>
        <w:pStyle w:val="53"/>
        <w:keepNext/>
        <w:keepLines/>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pPr>
        <w:pStyle w:val="2"/>
        <w:numPr>
          <w:ilvl w:val="0"/>
          <w:numId w:val="11"/>
        </w:numPr>
        <w:spacing w:before="120" w:after="120"/>
        <w:rPr>
          <w:b/>
          <w:sz w:val="28"/>
          <w:szCs w:val="24"/>
        </w:rPr>
      </w:pPr>
      <w:r>
        <w:rPr>
          <w:rFonts w:hint="eastAsia" w:eastAsia="宋体"/>
          <w:b/>
          <w:sz w:val="28"/>
          <w:szCs w:val="24"/>
          <w:lang w:eastAsia="zh-CN"/>
        </w:rPr>
        <w:t>Introduction</w:t>
      </w:r>
      <w:r>
        <w:rPr>
          <w:rFonts w:hint="eastAsia" w:eastAsia="宋体"/>
          <w:b/>
          <w:sz w:val="28"/>
          <w:szCs w:val="24"/>
          <w:lang w:val="en-US" w:eastAsia="zh-CN"/>
        </w:rPr>
        <w:t>/background</w:t>
      </w:r>
    </w:p>
    <w:p>
      <w:pPr>
        <w:spacing w:after="120"/>
        <w:rPr>
          <w:rFonts w:ascii="Arial" w:hAnsi="Arial" w:cs="Arial"/>
          <w:sz w:val="20"/>
          <w:lang w:val="en-US" w:eastAsia="zh-CN"/>
        </w:rPr>
      </w:pPr>
      <w:bookmarkStart w:id="3" w:name="OLE_LINK20"/>
      <w:r>
        <w:rPr>
          <w:rFonts w:hint="eastAsia" w:ascii="Arial" w:hAnsi="Arial" w:cs="Arial"/>
          <w:sz w:val="20"/>
          <w:lang w:val="en-US" w:eastAsia="zh-CN"/>
        </w:rPr>
        <w:t>T</w:t>
      </w:r>
      <w:r>
        <w:rPr>
          <w:rFonts w:ascii="Arial" w:hAnsi="Arial" w:cs="Arial"/>
          <w:sz w:val="20"/>
          <w:lang w:eastAsia="zh-CN"/>
        </w:rPr>
        <w:t>he templates for harmonic/harmonic mixing/cross band isolation were approved</w:t>
      </w:r>
      <w:r>
        <w:rPr>
          <w:rFonts w:hint="eastAsia" w:ascii="Arial" w:hAnsi="Arial" w:cs="Arial"/>
          <w:sz w:val="20"/>
          <w:lang w:val="en-US" w:eastAsia="zh-CN"/>
        </w:rPr>
        <w:t xml:space="preserve"> in [1] [2] in the last meeting. In this meeting, some contributions </w:t>
      </w:r>
      <w:r>
        <w:rPr>
          <w:rFonts w:ascii="Arial" w:hAnsi="Arial" w:cs="Arial"/>
          <w:sz w:val="20"/>
          <w:lang w:val="en-US" w:eastAsia="zh-CN"/>
        </w:rPr>
        <w:t>[</w:t>
      </w:r>
      <w:r>
        <w:rPr>
          <w:rFonts w:hint="eastAsia" w:ascii="Arial" w:hAnsi="Arial" w:cs="Arial"/>
          <w:sz w:val="20"/>
          <w:lang w:val="en-US" w:eastAsia="zh-CN"/>
        </w:rPr>
        <w:t>3</w:t>
      </w:r>
      <w:r>
        <w:rPr>
          <w:rFonts w:ascii="Arial" w:hAnsi="Arial" w:cs="Arial"/>
          <w:sz w:val="20"/>
          <w:lang w:val="en-US" w:eastAsia="zh-CN"/>
        </w:rPr>
        <w:t>][</w:t>
      </w:r>
      <w:r>
        <w:rPr>
          <w:rFonts w:hint="eastAsia" w:ascii="Arial" w:hAnsi="Arial" w:cs="Arial"/>
          <w:sz w:val="20"/>
          <w:lang w:val="en-US" w:eastAsia="zh-CN"/>
        </w:rPr>
        <w:t>4</w:t>
      </w:r>
      <w:r>
        <w:rPr>
          <w:rFonts w:ascii="Arial" w:hAnsi="Arial" w:cs="Arial"/>
          <w:sz w:val="20"/>
          <w:lang w:val="en-US" w:eastAsia="zh-CN"/>
        </w:rPr>
        <w:t>][</w:t>
      </w:r>
      <w:r>
        <w:rPr>
          <w:rFonts w:hint="eastAsia" w:ascii="Arial" w:hAnsi="Arial" w:cs="Arial"/>
          <w:sz w:val="20"/>
          <w:lang w:val="en-US" w:eastAsia="zh-CN"/>
        </w:rPr>
        <w:t>5</w:t>
      </w:r>
      <w:r>
        <w:rPr>
          <w:rFonts w:ascii="Arial" w:hAnsi="Arial" w:cs="Arial"/>
          <w:sz w:val="20"/>
          <w:lang w:val="en-US" w:eastAsia="zh-CN"/>
        </w:rPr>
        <w:t>]</w:t>
      </w:r>
      <w:r>
        <w:rPr>
          <w:rFonts w:hint="eastAsia" w:ascii="Arial" w:hAnsi="Arial" w:cs="Arial"/>
          <w:sz w:val="20"/>
          <w:lang w:val="en-US" w:eastAsia="zh-CN"/>
        </w:rPr>
        <w:t xml:space="preserve"> on improvements on the MSD/TR template are provided.</w:t>
      </w:r>
    </w:p>
    <w:p>
      <w:pPr>
        <w:spacing w:after="120"/>
        <w:rPr>
          <w:rFonts w:ascii="Arial" w:hAnsi="Arial" w:cs="Arial"/>
          <w:sz w:val="20"/>
          <w:lang w:val="en-US" w:eastAsia="zh-CN"/>
        </w:rPr>
      </w:pPr>
      <w:r>
        <w:rPr>
          <w:rFonts w:ascii="Arial" w:hAnsi="Arial" w:cs="Arial"/>
          <w:sz w:val="20"/>
          <w:lang w:val="en-US" w:eastAsia="zh-CN"/>
        </w:rPr>
        <w:t>This WF aims to capture the MSD/TR table template for Rel-19 2DL bands with xUL(x=1,2) bands inter-band NR CA ].</w:t>
      </w:r>
    </w:p>
    <w:p>
      <w:pPr>
        <w:spacing w:after="120"/>
        <w:rPr>
          <w:rFonts w:ascii="Arial" w:hAnsi="Arial" w:cs="Arial"/>
          <w:sz w:val="20"/>
          <w:lang w:val="en-US" w:eastAsia="zh-CN"/>
        </w:rPr>
      </w:pPr>
      <w:r>
        <w:rPr>
          <w:rFonts w:ascii="Arial" w:hAnsi="Arial" w:cs="Arial"/>
          <w:sz w:val="20"/>
          <w:lang w:val="en-US" w:eastAsia="zh-CN"/>
        </w:rPr>
        <w:t>The (sub-) clauses numbers used in this WF is based on the existing Rel-18 TR38718-02-01.</w:t>
      </w:r>
    </w:p>
    <w:p>
      <w:pPr>
        <w:pStyle w:val="2"/>
        <w:numPr>
          <w:ilvl w:val="0"/>
          <w:numId w:val="11"/>
        </w:numPr>
        <w:rPr>
          <w:rFonts w:eastAsia="宋体"/>
          <w:b/>
          <w:sz w:val="28"/>
          <w:szCs w:val="24"/>
          <w:lang w:eastAsia="zh-CN"/>
        </w:rPr>
      </w:pPr>
      <w:r>
        <w:rPr>
          <w:rFonts w:hint="eastAsia" w:eastAsia="宋体"/>
          <w:b/>
          <w:sz w:val="28"/>
          <w:szCs w:val="24"/>
          <w:lang w:val="en-US" w:eastAsia="zh-CN"/>
        </w:rPr>
        <w:t xml:space="preserve">Way forward </w:t>
      </w:r>
    </w:p>
    <w:p>
      <w:pPr>
        <w:pStyle w:val="3"/>
        <w:numPr>
          <w:ilvl w:val="1"/>
          <w:numId w:val="0"/>
        </w:numPr>
        <w:tabs>
          <w:tab w:val="clear" w:pos="0"/>
        </w:tabs>
      </w:pPr>
      <w:bookmarkStart w:id="4" w:name="_Toc19978"/>
      <w:bookmarkStart w:id="5" w:name="_Toc18919"/>
      <w:bookmarkStart w:id="6" w:name="_Toc2528"/>
      <w:bookmarkStart w:id="7" w:name="_Toc14692"/>
      <w:bookmarkStart w:id="8" w:name="_Toc20460"/>
      <w:bookmarkStart w:id="9" w:name="_Toc29717"/>
      <w:bookmarkStart w:id="10" w:name="_Toc28398"/>
      <w:bookmarkStart w:id="11" w:name="_Toc1698"/>
      <w:bookmarkStart w:id="12" w:name="_Toc31966"/>
      <w:bookmarkStart w:id="13" w:name="_Toc109047237"/>
      <w:bookmarkStart w:id="14" w:name="_Toc14197"/>
      <w:bookmarkStart w:id="15" w:name="_Toc27049"/>
      <w:bookmarkStart w:id="16" w:name="_Toc866"/>
      <w:bookmarkStart w:id="17" w:name="_Toc148459926"/>
      <w:bookmarkStart w:id="18" w:name="_Toc398"/>
      <w:bookmarkStart w:id="19" w:name="OLE_LINK23"/>
      <w:bookmarkStart w:id="20" w:name="OLE_LINK14"/>
      <w:r>
        <w:t>5.</w:t>
      </w:r>
      <w:r>
        <w:rPr>
          <w:rFonts w:hint="eastAsia"/>
          <w:lang w:eastAsia="zh-CN"/>
        </w:rPr>
        <w:t>x</w:t>
      </w:r>
      <w:r>
        <w:tab/>
      </w:r>
      <w:r>
        <w:rPr>
          <w:rFonts w:hint="eastAsia" w:eastAsia="宋体"/>
          <w:lang w:val="en-US" w:eastAsia="zh-CN"/>
        </w:rPr>
        <w:tab/>
      </w:r>
      <w:r>
        <w:t>CA_nX-nY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4"/>
        <w:numPr>
          <w:ilvl w:val="2"/>
          <w:numId w:val="0"/>
        </w:numPr>
        <w:tabs>
          <w:tab w:val="clear" w:pos="0"/>
        </w:tabs>
        <w:rPr>
          <w:rFonts w:cs="Arial"/>
          <w:lang w:val="en-US" w:eastAsia="zh-CN"/>
        </w:rPr>
      </w:pPr>
      <w:bookmarkStart w:id="21" w:name="_Toc29801673"/>
      <w:bookmarkStart w:id="22" w:name="_Toc61372624"/>
      <w:bookmarkStart w:id="23" w:name="_Toc69083977"/>
      <w:bookmarkStart w:id="24" w:name="_Toc75466983"/>
      <w:bookmarkStart w:id="25" w:name="_Toc29802722"/>
      <w:bookmarkStart w:id="26" w:name="_Toc37251223"/>
      <w:bookmarkStart w:id="27" w:name="_Toc76717995"/>
      <w:bookmarkStart w:id="28" w:name="_Toc83580305"/>
      <w:bookmarkStart w:id="29" w:name="_Toc76509005"/>
      <w:bookmarkStart w:id="30" w:name="_Toc68230564"/>
      <w:bookmarkStart w:id="31" w:name="_Toc29802097"/>
      <w:bookmarkStart w:id="32" w:name="_Toc45888002"/>
      <w:bookmarkStart w:id="33" w:name="_Toc84413423"/>
      <w:bookmarkStart w:id="34" w:name="_Toc36107464"/>
      <w:bookmarkStart w:id="35" w:name="_Toc61367241"/>
      <w:bookmarkStart w:id="36" w:name="_Toc45888601"/>
      <w:bookmarkStart w:id="37" w:name="_Toc84404814"/>
      <w:bookmarkStart w:id="38" w:name="_Toc24911"/>
      <w:bookmarkStart w:id="39" w:name="_Toc20269"/>
      <w:bookmarkStart w:id="40" w:name="_Toc25908"/>
      <w:bookmarkStart w:id="41" w:name="_Toc109047238"/>
      <w:bookmarkStart w:id="42" w:name="_Toc3507"/>
      <w:bookmarkStart w:id="43" w:name="_Toc24474"/>
      <w:bookmarkStart w:id="44" w:name="_Toc1757"/>
      <w:bookmarkStart w:id="45" w:name="_Toc15960"/>
      <w:bookmarkStart w:id="46" w:name="_Toc19744"/>
      <w:bookmarkStart w:id="47" w:name="_Toc9110"/>
      <w:bookmarkStart w:id="48" w:name="_Toc7333"/>
      <w:r>
        <w:t>5.x.1</w:t>
      </w:r>
      <w:r>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cs="Arial"/>
          <w:lang w:val="en-US" w:eastAsia="zh-CN"/>
        </w:rPr>
        <w:t>Common for 1 band UL and 2 bands UL CA</w:t>
      </w:r>
      <w:bookmarkEnd w:id="38"/>
      <w:bookmarkEnd w:id="39"/>
      <w:bookmarkEnd w:id="40"/>
      <w:bookmarkEnd w:id="41"/>
      <w:bookmarkEnd w:id="42"/>
      <w:bookmarkEnd w:id="43"/>
      <w:bookmarkEnd w:id="44"/>
      <w:bookmarkEnd w:id="45"/>
      <w:bookmarkEnd w:id="46"/>
      <w:bookmarkEnd w:id="47"/>
      <w:bookmarkEnd w:id="48"/>
    </w:p>
    <w:p>
      <w:pPr>
        <w:pStyle w:val="5"/>
        <w:numPr>
          <w:ilvl w:val="3"/>
          <w:numId w:val="0"/>
        </w:numPr>
      </w:pPr>
      <w:bookmarkStart w:id="49" w:name="_Toc45888004"/>
      <w:bookmarkStart w:id="50" w:name="_Toc76717997"/>
      <w:bookmarkStart w:id="51" w:name="_Toc84413425"/>
      <w:bookmarkStart w:id="52" w:name="_Toc76509007"/>
      <w:bookmarkStart w:id="53" w:name="_Toc75466985"/>
      <w:bookmarkStart w:id="54" w:name="_Toc68230566"/>
      <w:bookmarkStart w:id="55" w:name="_Toc61367243"/>
      <w:bookmarkStart w:id="56" w:name="_Toc83580307"/>
      <w:bookmarkStart w:id="57" w:name="_Toc45888603"/>
      <w:bookmarkStart w:id="58" w:name="_Toc69083979"/>
      <w:bookmarkStart w:id="59" w:name="_Toc61372626"/>
      <w:bookmarkStart w:id="60" w:name="_Toc84404816"/>
      <w:bookmarkStart w:id="61" w:name="_Toc22080"/>
      <w:bookmarkStart w:id="62" w:name="_Toc9177"/>
      <w:bookmarkStart w:id="63" w:name="_Toc20017"/>
      <w:bookmarkStart w:id="64" w:name="_Toc9102"/>
      <w:bookmarkStart w:id="65" w:name="_Toc109047239"/>
      <w:bookmarkStart w:id="66" w:name="_Toc2458"/>
      <w:bookmarkStart w:id="67" w:name="_Toc22527"/>
      <w:bookmarkStart w:id="68" w:name="_Toc14920"/>
      <w:bookmarkStart w:id="69" w:name="_Toc15473"/>
      <w:bookmarkStart w:id="70" w:name="_Toc29289"/>
      <w:bookmarkStart w:id="71" w:name="_Toc19554"/>
      <w:r>
        <w:t>5.x.1.1</w:t>
      </w:r>
      <w:r>
        <w:tab/>
      </w:r>
      <w:bookmarkEnd w:id="49"/>
      <w:bookmarkEnd w:id="50"/>
      <w:bookmarkEnd w:id="51"/>
      <w:bookmarkEnd w:id="52"/>
      <w:bookmarkEnd w:id="53"/>
      <w:bookmarkEnd w:id="54"/>
      <w:bookmarkEnd w:id="55"/>
      <w:bookmarkEnd w:id="56"/>
      <w:bookmarkEnd w:id="57"/>
      <w:bookmarkEnd w:id="58"/>
      <w:bookmarkEnd w:id="59"/>
      <w:bookmarkEnd w:id="60"/>
      <w:r>
        <w:rPr>
          <w:rFonts w:cs="Arial"/>
          <w:lang w:eastAsia="zh-CN"/>
        </w:rPr>
        <w:t>Operating bands for CA</w:t>
      </w:r>
      <w:bookmarkEnd w:id="61"/>
      <w:bookmarkEnd w:id="62"/>
      <w:bookmarkEnd w:id="63"/>
      <w:bookmarkEnd w:id="64"/>
      <w:bookmarkEnd w:id="65"/>
      <w:bookmarkEnd w:id="66"/>
      <w:bookmarkEnd w:id="67"/>
      <w:bookmarkEnd w:id="68"/>
      <w:bookmarkEnd w:id="69"/>
      <w:bookmarkEnd w:id="70"/>
      <w:bookmarkEnd w:id="71"/>
    </w:p>
    <w:p>
      <w:pPr>
        <w:pStyle w:val="157"/>
        <w:rPr>
          <w:color w:val="auto"/>
          <w:lang w:eastAsia="zh-CN"/>
        </w:rPr>
      </w:pPr>
      <w:r>
        <w:rPr>
          <w:color w:val="auto"/>
        </w:rPr>
        <w:t xml:space="preserve">Table </w:t>
      </w:r>
      <w:r>
        <w:rPr>
          <w:rFonts w:hint="eastAsia"/>
          <w:color w:val="auto"/>
          <w:lang w:val="en-US" w:eastAsia="zh-CN"/>
        </w:rPr>
        <w:t>5.x</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nX+nY</w:t>
      </w:r>
    </w:p>
    <w:tbl>
      <w:tblPr>
        <w:tblStyle w:val="76"/>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val="sv-SE" w:eastAsia="zh-CN"/>
              </w:rPr>
            </w:pPr>
            <w:r>
              <w:rPr>
                <w:rFonts w:ascii="Arial" w:hAnsi="Arial" w:cs="Arial"/>
                <w:color w:val="000000"/>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ko-KR"/>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81"/>
              <w:jc w:val="left"/>
              <w:rPr>
                <w:rFonts w:eastAsia="宋体"/>
                <w:color w:val="auto"/>
                <w:lang w:val="en-US" w:eastAsia="zh-CN"/>
              </w:rPr>
            </w:pPr>
            <w:r>
              <w:rPr>
                <w:rFonts w:hint="eastAsia" w:eastAsia="宋体"/>
                <w:color w:val="auto"/>
                <w:lang w:val="en-US" w:eastAsia="zh-CN"/>
              </w:rPr>
              <w:t xml:space="preserve">NOTE X: </w:t>
            </w:r>
          </w:p>
          <w:p>
            <w:pPr>
              <w:keepNext/>
              <w:keepLines/>
              <w:spacing w:after="0"/>
              <w:rPr>
                <w:rFonts w:ascii="Arial" w:hAnsi="Arial" w:cs="Arial"/>
                <w:color w:val="000000"/>
                <w:sz w:val="18"/>
                <w:szCs w:val="18"/>
                <w:highlight w:val="lightGray"/>
              </w:rPr>
            </w:pPr>
            <w:r>
              <w:rPr>
                <w:rFonts w:hint="eastAsia" w:eastAsia="Times New Roman" w:cs="Arial"/>
                <w:i/>
                <w:color w:val="FF0000"/>
                <w:kern w:val="2"/>
                <w:sz w:val="20"/>
                <w:lang w:val="en-US" w:eastAsia="zh-CN"/>
              </w:rPr>
              <w:t>Editor's note: Whether or not supporting simultaneous Rx/Tx capability should be identified for TDD-TDD or FDD-TDD band combination</w:t>
            </w:r>
          </w:p>
        </w:tc>
      </w:tr>
    </w:tbl>
    <w:p>
      <w:pPr>
        <w:rPr>
          <w:lang w:eastAsia="zh-CN"/>
        </w:rPr>
      </w:pPr>
    </w:p>
    <w:p>
      <w:pPr>
        <w:keepNext/>
        <w:keepLines/>
        <w:spacing w:after="0"/>
        <w:rPr>
          <w:rFonts w:ascii="Arial" w:hAnsi="Arial" w:cs="Arial"/>
          <w:color w:val="000000"/>
          <w:sz w:val="18"/>
          <w:szCs w:val="18"/>
          <w:lang w:eastAsia="ko-KR"/>
        </w:rPr>
      </w:pPr>
      <w:r>
        <w:rPr>
          <w:rFonts w:ascii="Arial" w:hAnsi="Arial" w:cs="Arial"/>
          <w:color w:val="000000"/>
          <w:sz w:val="18"/>
          <w:szCs w:val="18"/>
          <w:lang w:eastAsia="ko-KR"/>
        </w:rPr>
        <w:t xml:space="preserve">If the band combination is TDD/TDD, is SimRx/Tx supported (YES/NO/N-A)? </w:t>
      </w:r>
    </w:p>
    <w:p>
      <w:pPr>
        <w:keepNext/>
        <w:keepLines/>
        <w:spacing w:after="0"/>
        <w:rPr>
          <w:rFonts w:eastAsia="Times New Roman" w:cs="Arial"/>
          <w:i/>
          <w:color w:val="FF0000"/>
          <w:kern w:val="2"/>
          <w:sz w:val="20"/>
          <w:lang w:val="en-US" w:eastAsia="zh-CN"/>
        </w:rPr>
      </w:pPr>
      <w:r>
        <w:rPr>
          <w:rFonts w:hint="eastAsia" w:eastAsia="Times New Roman" w:cs="Arial"/>
          <w:i/>
          <w:color w:val="FF0000"/>
          <w:kern w:val="2"/>
          <w:sz w:val="20"/>
          <w:lang w:val="en-US" w:eastAsia="zh-CN"/>
        </w:rPr>
        <w:t>Editor's note: If yes, please add the NOTE in the above table.</w:t>
      </w:r>
    </w:p>
    <w:p>
      <w:pPr>
        <w:keepNext/>
        <w:keepLines/>
        <w:spacing w:after="0"/>
        <w:rPr>
          <w:rFonts w:eastAsia="Times New Roman" w:cs="Arial"/>
          <w:i/>
          <w:color w:val="FF0000"/>
          <w:kern w:val="2"/>
          <w:sz w:val="20"/>
          <w:lang w:val="en-US" w:eastAsia="zh-CN"/>
        </w:rPr>
      </w:pPr>
    </w:p>
    <w:p>
      <w:pPr>
        <w:pStyle w:val="5"/>
        <w:numPr>
          <w:ilvl w:val="3"/>
          <w:numId w:val="0"/>
        </w:numPr>
      </w:pPr>
      <w:bookmarkStart w:id="72" w:name="_Toc15330"/>
      <w:bookmarkStart w:id="73" w:name="_Toc13938"/>
      <w:bookmarkStart w:id="74" w:name="_Toc20845"/>
      <w:bookmarkStart w:id="75" w:name="_Toc723"/>
      <w:bookmarkStart w:id="76" w:name="_Toc29395"/>
      <w:bookmarkStart w:id="77" w:name="_Toc26945"/>
      <w:bookmarkStart w:id="78" w:name="_Toc109047240"/>
      <w:bookmarkStart w:id="79" w:name="_Toc11148"/>
      <w:bookmarkStart w:id="80" w:name="_Toc1769"/>
      <w:bookmarkStart w:id="81" w:name="_Toc20006"/>
      <w:bookmarkStart w:id="82" w:name="_Toc2457"/>
      <w:r>
        <w:t>5.x.1.2</w:t>
      </w:r>
      <w:r>
        <w:tab/>
      </w:r>
      <w:r>
        <w:rPr>
          <w:rFonts w:cs="Arial"/>
          <w:lang w:eastAsia="zh-CN"/>
        </w:rPr>
        <w:t>Channel bandwidths per operating band for CA</w:t>
      </w:r>
      <w:bookmarkEnd w:id="72"/>
      <w:bookmarkEnd w:id="73"/>
      <w:bookmarkEnd w:id="74"/>
      <w:bookmarkEnd w:id="75"/>
      <w:bookmarkEnd w:id="76"/>
      <w:bookmarkEnd w:id="77"/>
      <w:bookmarkEnd w:id="78"/>
      <w:bookmarkEnd w:id="79"/>
      <w:bookmarkEnd w:id="80"/>
      <w:bookmarkEnd w:id="81"/>
      <w:bookmarkEnd w:id="82"/>
    </w:p>
    <w:p>
      <w:pPr>
        <w:pStyle w:val="157"/>
        <w:rPr>
          <w:color w:val="auto"/>
          <w:lang w:val="en-US" w:eastAsia="zh-CN"/>
        </w:rPr>
      </w:pPr>
      <w:r>
        <w:rPr>
          <w:color w:val="auto"/>
        </w:rPr>
        <w:t xml:space="preserve">Table </w:t>
      </w:r>
      <w:r>
        <w:rPr>
          <w:rFonts w:hint="eastAsia"/>
          <w:color w:val="auto"/>
          <w:lang w:val="en-US" w:eastAsia="zh-CN"/>
        </w:rPr>
        <w:t>5.x</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nX+nY</w:t>
      </w:r>
    </w:p>
    <w:tbl>
      <w:tblPr>
        <w:tblStyle w:val="76"/>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81"/>
              <w:overflowPunct w:val="0"/>
              <w:autoSpaceDE w:val="0"/>
              <w:autoSpaceDN w:val="0"/>
              <w:adjustRightInd w:val="0"/>
              <w:rPr>
                <w:color w:val="auto"/>
                <w:szCs w:val="18"/>
                <w:lang w:val="en-US" w:eastAsia="zh-CN"/>
              </w:rPr>
            </w:pPr>
            <w:r>
              <w:rPr>
                <w:rFonts w:hint="eastAsia"/>
                <w:color w:val="auto"/>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81"/>
              <w:overflowPunct w:val="0"/>
              <w:autoSpaceDE w:val="0"/>
              <w:autoSpaceDN w:val="0"/>
              <w:adjustRightInd w:val="0"/>
              <w:rPr>
                <w:color w:val="auto"/>
                <w:szCs w:val="18"/>
                <w:lang w:val="en-US" w:eastAsia="zh-CN"/>
              </w:rPr>
            </w:pPr>
            <w:r>
              <w:rPr>
                <w:rFonts w:hint="eastAsia"/>
                <w:color w:val="auto"/>
                <w:szCs w:val="18"/>
                <w:lang w:val="en-US" w:eastAsia="zh-CN"/>
              </w:rPr>
              <w:t>- *</w:t>
            </w:r>
          </w:p>
          <w:p>
            <w:pPr>
              <w:pStyle w:val="181"/>
              <w:overflowPunct w:val="0"/>
              <w:autoSpaceDE w:val="0"/>
              <w:autoSpaceDN w:val="0"/>
              <w:adjustRightInd w:val="0"/>
              <w:rPr>
                <w:color w:val="auto"/>
                <w:szCs w:val="18"/>
                <w:lang w:val="en-US" w:eastAsia="zh-CN"/>
              </w:rPr>
            </w:pPr>
            <w:r>
              <w:rPr>
                <w:rFonts w:hint="eastAsia"/>
                <w:color w:val="auto"/>
                <w:szCs w:val="18"/>
                <w:lang w:val="en-US" w:eastAsia="zh-CN"/>
              </w:rPr>
              <w:t>or</w:t>
            </w:r>
          </w:p>
          <w:p>
            <w:pPr>
              <w:pStyle w:val="181"/>
              <w:overflowPunct w:val="0"/>
              <w:autoSpaceDE w:val="0"/>
              <w:autoSpaceDN w:val="0"/>
              <w:adjustRightInd w:val="0"/>
              <w:rPr>
                <w:color w:val="000000"/>
                <w:szCs w:val="18"/>
                <w:highlight w:val="cyan"/>
              </w:rPr>
            </w:pPr>
            <w:r>
              <w:rPr>
                <w:rFonts w:hint="eastAsia"/>
                <w:color w:val="auto"/>
                <w:szCs w:val="18"/>
                <w:lang w:val="en-US" w:eastAsia="zh-CN"/>
              </w:rPr>
              <w:t>CA_nX</w:t>
            </w:r>
            <w:r>
              <w:rPr>
                <w:rFonts w:hint="eastAsia"/>
                <w:color w:val="auto"/>
                <w:szCs w:val="18"/>
                <w:lang w:val="sv-SE" w:eastAsia="ja-JP"/>
              </w:rPr>
              <w:t>A-</w:t>
            </w:r>
            <w:r>
              <w:rPr>
                <w:rFonts w:hint="eastAsia"/>
                <w:color w:val="auto"/>
                <w:szCs w:val="18"/>
                <w:lang w:val="en-US" w:eastAsia="zh-CN"/>
              </w:rPr>
              <w:t>nY</w:t>
            </w:r>
            <w:r>
              <w:rPr>
                <w:rFonts w:hint="eastAsia"/>
                <w:color w:val="auto"/>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81"/>
              <w:overflowPunct w:val="0"/>
              <w:autoSpaceDE w:val="0"/>
              <w:autoSpaceDN w:val="0"/>
              <w:adjustRightInd w:val="0"/>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spacing w:after="0"/>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81"/>
              <w:overflowPunct w:val="0"/>
              <w:autoSpaceDE w:val="0"/>
              <w:autoSpaceDN w:val="0"/>
              <w:adjustRightInd w:val="0"/>
              <w:rPr>
                <w:color w:val="auto"/>
                <w:szCs w:val="18"/>
                <w:lang w:val="en-US" w:eastAsia="zh-CN"/>
              </w:rPr>
            </w:pPr>
            <w:r>
              <w:rPr>
                <w:rFonts w:hint="eastAsia"/>
                <w:color w:val="auto"/>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Arial" w:hAnsi="Arial" w:cs="Arial"/>
                <w:kern w:val="2"/>
                <w:sz w:val="18"/>
                <w:szCs w:val="18"/>
                <w:lang w:val="en-US" w:eastAsia="zh-CN"/>
              </w:rPr>
            </w:pPr>
            <w:r>
              <w:rPr>
                <w:rFonts w:hint="eastAsia" w:ascii="Arial" w:hAnsi="Arial" w:cs="Arial"/>
                <w:kern w:val="2"/>
                <w:sz w:val="18"/>
                <w:szCs w:val="18"/>
                <w:lang w:val="en-US" w:eastAsia="zh-CN"/>
              </w:rPr>
              <w:t>CA_nXB/C/(2A)</w:t>
            </w:r>
          </w:p>
          <w:p>
            <w:pPr>
              <w:spacing w:after="0"/>
              <w:jc w:val="center"/>
              <w:rPr>
                <w:rFonts w:hint="eastAsia" w:ascii="Arial" w:hAnsi="Arial" w:cs="Arial"/>
                <w:kern w:val="2"/>
                <w:sz w:val="18"/>
                <w:szCs w:val="18"/>
                <w:lang w:val="en-US" w:eastAsia="zh-CN"/>
              </w:rPr>
            </w:pPr>
            <w:r>
              <w:rPr>
                <w:rFonts w:hint="eastAsia" w:ascii="Arial" w:hAnsi="Arial" w:cs="Arial"/>
                <w:kern w:val="2"/>
                <w:sz w:val="18"/>
                <w:szCs w:val="18"/>
                <w:lang w:val="en-US" w:eastAsia="zh-CN"/>
              </w:rPr>
              <w:t>or</w:t>
            </w:r>
          </w:p>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cs="Arial"/>
                <w:color w:val="000000"/>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spacing w:after="0"/>
              <w:jc w:val="center"/>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spacing w:after="0"/>
              <w:rPr>
                <w:rFonts w:ascii="Arial" w:hAnsi="Arial" w:cs="Arial"/>
                <w:sz w:val="18"/>
                <w:szCs w:val="18"/>
              </w:rPr>
            </w:pPr>
          </w:p>
        </w:tc>
      </w:tr>
    </w:tbl>
    <w:p>
      <w:pPr>
        <w:pStyle w:val="199"/>
        <w:overflowPunct w:val="0"/>
        <w:autoSpaceDE w:val="0"/>
        <w:autoSpaceDN w:val="0"/>
        <w:adjustRightInd w:val="0"/>
        <w:ind w:left="0" w:firstLine="0"/>
        <w:textAlignment w:val="baseline"/>
        <w:rPr>
          <w:rFonts w:ascii="Times New Roman" w:hAnsi="Times New Roman" w:eastAsia="Times New Roman"/>
          <w:i/>
          <w:lang w:val="en-US" w:eastAsia="en-GB"/>
        </w:rPr>
      </w:pPr>
    </w:p>
    <w:p>
      <w:pPr>
        <w:pStyle w:val="199"/>
        <w:overflowPunct w:val="0"/>
        <w:autoSpaceDE w:val="0"/>
        <w:autoSpaceDN w:val="0"/>
        <w:adjustRightInd w:val="0"/>
        <w:ind w:left="0" w:firstLine="0"/>
        <w:textAlignment w:val="baseline"/>
        <w:rPr>
          <w:rFonts w:ascii="Times New Roman" w:hAnsi="Times New Roman" w:eastAsia="Times New Roman"/>
          <w:i/>
          <w:lang w:val="en-US" w:eastAsia="en-GB"/>
        </w:rPr>
      </w:pPr>
      <w:r>
        <w:rPr>
          <w:rFonts w:hint="eastAsia" w:ascii="Times New Roman" w:hAnsi="Times New Roman" w:eastAsia="Times New Roman"/>
          <w:i/>
          <w:lang w:val="en-US" w:eastAsia="en-GB"/>
        </w:rPr>
        <w:t xml:space="preserve">Editor's note*: </w:t>
      </w:r>
      <w:r>
        <w:rPr>
          <w:rFonts w:ascii="Times New Roman" w:hAnsi="Times New Roman" w:eastAsia="Times New Roman"/>
          <w:i/>
          <w:lang w:val="en-US" w:eastAsia="en-GB"/>
        </w:rPr>
        <w:t>‘</w:t>
      </w:r>
      <w:r>
        <w:rPr>
          <w:rFonts w:hint="eastAsia" w:ascii="Times New Roman" w:hAnsi="Times New Roman" w:eastAsia="Times New Roman"/>
          <w:i/>
          <w:lang w:val="en-US" w:eastAsia="en-GB"/>
        </w:rPr>
        <w:t>-</w:t>
      </w:r>
      <w:r>
        <w:rPr>
          <w:rFonts w:ascii="Times New Roman" w:hAnsi="Times New Roman" w:eastAsia="Times New Roman"/>
          <w:i/>
          <w:lang w:val="en-US" w:eastAsia="en-GB"/>
        </w:rPr>
        <w:t>’</w:t>
      </w:r>
      <w:r>
        <w:rPr>
          <w:rFonts w:hint="eastAsia" w:ascii="Times New Roman" w:hAnsi="Times New Roman" w:eastAsia="Times New Roman"/>
          <w:i/>
          <w:lang w:val="en-US" w:eastAsia="en-GB"/>
        </w:rPr>
        <w:t xml:space="preserve"> is for 1UL</w:t>
      </w:r>
    </w:p>
    <w:p>
      <w:pPr>
        <w:pStyle w:val="199"/>
        <w:overflowPunct w:val="0"/>
        <w:autoSpaceDE w:val="0"/>
        <w:autoSpaceDN w:val="0"/>
        <w:adjustRightInd w:val="0"/>
        <w:ind w:left="0" w:firstLine="0"/>
        <w:textAlignment w:val="baseline"/>
        <w:rPr>
          <w:rFonts w:hint="eastAsia" w:ascii="Times New Roman" w:hAnsi="Times New Roman" w:eastAsia="Times New Roman"/>
          <w:i/>
          <w:lang w:val="en-US" w:eastAsia="zh-CN"/>
        </w:rPr>
      </w:pPr>
      <w:r>
        <w:rPr>
          <w:rFonts w:hint="eastAsia" w:ascii="Times New Roman" w:hAnsi="Times New Roman" w:eastAsia="Times New Roman"/>
          <w:i/>
          <w:lang w:eastAsia="zh-CN"/>
        </w:rPr>
        <w:t xml:space="preserve">Editor's </w:t>
      </w:r>
      <w:r>
        <w:rPr>
          <w:rFonts w:ascii="Times New Roman" w:hAnsi="Times New Roman" w:eastAsia="Times New Roman"/>
          <w:i/>
          <w:lang w:eastAsia="en-GB"/>
        </w:rPr>
        <w:t xml:space="preserve">note: </w:t>
      </w:r>
      <w:r>
        <w:rPr>
          <w:rFonts w:hint="eastAsia" w:ascii="Times New Roman" w:hAnsi="Times New Roman" w:eastAsia="Times New Roman"/>
          <w:i/>
          <w:lang w:val="en-US" w:eastAsia="zh-CN"/>
        </w:rPr>
        <w:t>T</w:t>
      </w:r>
      <w:r>
        <w:rPr>
          <w:rFonts w:ascii="Times New Roman" w:hAnsi="Times New Roman" w:eastAsia="Times New Roman"/>
          <w:i/>
          <w:lang w:val="en-US" w:eastAsia="zh-CN"/>
        </w:rPr>
        <w:t>he table format</w:t>
      </w:r>
      <w:r>
        <w:rPr>
          <w:rFonts w:hint="eastAsia" w:ascii="Times New Roman" w:hAnsi="Times New Roman" w:eastAsia="Times New Roman"/>
          <w:i/>
          <w:lang w:val="en-US" w:eastAsia="zh-CN"/>
        </w:rPr>
        <w:t xml:space="preserve"> shall be the same with </w:t>
      </w:r>
      <w:r>
        <w:rPr>
          <w:rFonts w:ascii="Times New Roman" w:hAnsi="Times New Roman" w:eastAsia="Times New Roman"/>
          <w:i/>
          <w:lang w:val="en-US" w:eastAsia="zh-CN"/>
        </w:rPr>
        <w:t>Table 5.5A.3.1-1 i</w:t>
      </w:r>
      <w:r>
        <w:rPr>
          <w:rFonts w:hint="eastAsia" w:ascii="Times New Roman" w:hAnsi="Times New Roman" w:eastAsia="Times New Roman"/>
          <w:i/>
          <w:lang w:val="en-US" w:eastAsia="zh-CN"/>
        </w:rPr>
        <w:t>n</w:t>
      </w:r>
      <w:r>
        <w:rPr>
          <w:rFonts w:hint="eastAsia" w:ascii="Times New Roman" w:hAnsi="Times New Roman" w:eastAsia="Times New Roman"/>
          <w:i/>
          <w:lang w:val="en-US" w:eastAsia="zh-TW"/>
        </w:rPr>
        <w:t xml:space="preserve"> the latest </w:t>
      </w:r>
      <w:r>
        <w:rPr>
          <w:rFonts w:hint="eastAsia" w:ascii="Times New Roman" w:hAnsi="Times New Roman" w:eastAsia="Times New Roman"/>
          <w:i/>
          <w:lang w:val="en-US" w:eastAsia="zh-CN"/>
        </w:rPr>
        <w:t>TS 38.101-1. T</w:t>
      </w:r>
      <w:r>
        <w:rPr>
          <w:rFonts w:hint="eastAsia" w:ascii="Times New Roman" w:hAnsi="Times New Roman" w:eastAsia="Times New Roman"/>
          <w:i/>
          <w:lang w:val="en-US" w:eastAsia="zh-TW"/>
        </w:rPr>
        <w:t xml:space="preserve">he table </w:t>
      </w:r>
      <w:r>
        <w:rPr>
          <w:rFonts w:hint="eastAsia" w:ascii="Times New Roman" w:hAnsi="Times New Roman" w:eastAsia="Times New Roman"/>
          <w:i/>
          <w:lang w:val="en-US" w:eastAsia="zh-CN"/>
        </w:rPr>
        <w:t xml:space="preserve">format above </w:t>
      </w:r>
      <w:r>
        <w:rPr>
          <w:rFonts w:hint="eastAsia" w:ascii="Times New Roman" w:hAnsi="Times New Roman" w:eastAsia="Times New Roman"/>
          <w:i/>
          <w:lang w:val="en-US" w:eastAsia="zh-TW"/>
        </w:rPr>
        <w:t>is from the latest Rel.1</w:t>
      </w:r>
      <w:r>
        <w:rPr>
          <w:rFonts w:hint="eastAsia" w:ascii="Times New Roman" w:hAnsi="Times New Roman" w:eastAsia="Times New Roman"/>
          <w:i/>
          <w:lang w:val="en-US" w:eastAsia="zh-CN"/>
        </w:rPr>
        <w:t>8</w:t>
      </w:r>
      <w:r>
        <w:rPr>
          <w:rFonts w:hint="eastAsia" w:ascii="Times New Roman" w:hAnsi="Times New Roman" w:eastAsia="Times New Roman"/>
          <w:i/>
          <w:lang w:val="en-US" w:eastAsia="zh-TW"/>
        </w:rPr>
        <w:t xml:space="preserve"> 38.101-</w:t>
      </w:r>
      <w:r>
        <w:rPr>
          <w:rFonts w:hint="eastAsia" w:ascii="Times New Roman" w:hAnsi="Times New Roman" w:eastAsia="Times New Roman"/>
          <w:i/>
          <w:lang w:val="en-US" w:eastAsia="zh-CN"/>
        </w:rPr>
        <w:t>1</w:t>
      </w:r>
      <w:r>
        <w:rPr>
          <w:rFonts w:hint="eastAsia" w:ascii="Times New Roman" w:hAnsi="Times New Roman" w:eastAsia="Times New Roman"/>
          <w:i/>
          <w:lang w:val="en-US" w:eastAsia="zh-TW"/>
        </w:rPr>
        <w:t>, note that the table format might be changed in Rel.1</w:t>
      </w:r>
      <w:r>
        <w:rPr>
          <w:rFonts w:hint="eastAsia" w:ascii="Times New Roman" w:hAnsi="Times New Roman" w:eastAsia="Times New Roman"/>
          <w:i/>
          <w:lang w:val="en-US" w:eastAsia="zh-CN"/>
        </w:rPr>
        <w:t>9</w:t>
      </w:r>
      <w:r>
        <w:rPr>
          <w:rFonts w:hint="eastAsia" w:ascii="Times New Roman" w:hAnsi="Times New Roman" w:eastAsia="Times New Roman"/>
          <w:i/>
          <w:lang w:val="en-US" w:eastAsia="zh-TW"/>
        </w:rPr>
        <w:t>.</w:t>
      </w:r>
      <w:r>
        <w:rPr>
          <w:rFonts w:hint="eastAsia" w:ascii="Times New Roman" w:hAnsi="Times New Roman" w:eastAsia="Times New Roman"/>
          <w:i/>
          <w:lang w:val="en-US" w:eastAsia="zh-CN"/>
        </w:rPr>
        <w:t xml:space="preserve"> </w:t>
      </w:r>
    </w:p>
    <w:p>
      <w:pPr>
        <w:pStyle w:val="199"/>
        <w:overflowPunct w:val="0"/>
        <w:autoSpaceDE w:val="0"/>
        <w:autoSpaceDN w:val="0"/>
        <w:adjustRightInd w:val="0"/>
        <w:ind w:left="0" w:firstLine="0"/>
        <w:textAlignment w:val="baseline"/>
        <w:rPr>
          <w:rFonts w:hint="default" w:ascii="Times New Roman" w:hAnsi="Times New Roman" w:eastAsia="宋体"/>
          <w:i/>
          <w:lang w:val="en-US" w:eastAsia="zh-CN"/>
        </w:rPr>
      </w:pPr>
      <w:r>
        <w:rPr>
          <w:rFonts w:hint="eastAsia" w:ascii="Times New Roman" w:hAnsi="Times New Roman" w:eastAsia="Times New Roman"/>
          <w:i/>
          <w:lang w:eastAsia="zh-CN"/>
        </w:rPr>
        <w:t xml:space="preserve">Editor's </w:t>
      </w:r>
      <w:r>
        <w:rPr>
          <w:rFonts w:ascii="Times New Roman" w:hAnsi="Times New Roman" w:eastAsia="Times New Roman"/>
          <w:i/>
          <w:lang w:eastAsia="en-GB"/>
        </w:rPr>
        <w:t>note:</w:t>
      </w:r>
      <w:r>
        <w:rPr>
          <w:rFonts w:hint="eastAsia" w:ascii="Times New Roman" w:hAnsi="Times New Roman"/>
          <w:i/>
          <w:lang w:val="en-US" w:eastAsia="zh-CN"/>
        </w:rPr>
        <w:t xml:space="preserve"> The valid UL configurations shall refer to the Annex B.</w:t>
      </w:r>
    </w:p>
    <w:p>
      <w:pPr>
        <w:pStyle w:val="5"/>
        <w:numPr>
          <w:ilvl w:val="3"/>
          <w:numId w:val="0"/>
        </w:numPr>
        <w:rPr>
          <w:lang w:val="en-US"/>
        </w:rPr>
      </w:pPr>
      <w:bookmarkStart w:id="83" w:name="_Toc16872"/>
      <w:bookmarkStart w:id="84" w:name="_Toc19600"/>
      <w:bookmarkStart w:id="85" w:name="_Toc20126"/>
      <w:bookmarkStart w:id="86" w:name="_Toc14173"/>
      <w:bookmarkStart w:id="87" w:name="_Toc13241"/>
      <w:bookmarkStart w:id="88" w:name="_Toc14094"/>
      <w:bookmarkStart w:id="89" w:name="_Toc20370"/>
      <w:bookmarkStart w:id="90" w:name="_Toc1055"/>
      <w:bookmarkStart w:id="91" w:name="_Toc13201"/>
      <w:bookmarkStart w:id="92" w:name="_Toc109047241"/>
      <w:bookmarkStart w:id="93" w:name="_Toc15990"/>
      <w:r>
        <w:t>5.x.1.3</w:t>
      </w:r>
      <w:r>
        <w:tab/>
      </w:r>
      <w:r>
        <w:rPr>
          <w:rFonts w:cs="Arial"/>
          <w:lang w:eastAsia="zh-CN"/>
        </w:rPr>
        <w:t>UE co-existence studies</w:t>
      </w:r>
      <w:bookmarkEnd w:id="83"/>
      <w:bookmarkEnd w:id="84"/>
      <w:bookmarkEnd w:id="85"/>
      <w:bookmarkEnd w:id="86"/>
      <w:bookmarkEnd w:id="87"/>
      <w:bookmarkEnd w:id="88"/>
      <w:bookmarkEnd w:id="89"/>
      <w:bookmarkEnd w:id="90"/>
      <w:bookmarkEnd w:id="91"/>
      <w:bookmarkEnd w:id="92"/>
      <w:bookmarkEnd w:id="93"/>
      <w:r>
        <w:rPr>
          <w:rFonts w:hint="eastAsia" w:cs="Arial"/>
          <w:lang w:val="en-US" w:eastAsia="zh-CN"/>
        </w:rPr>
        <w:t xml:space="preserve"> for 1 band UL</w:t>
      </w:r>
    </w:p>
    <w:p>
      <w:pPr>
        <w:rPr>
          <w:rFonts w:eastAsia="Times New Roman"/>
          <w:i/>
          <w:iCs/>
          <w:color w:val="FF0000"/>
          <w:sz w:val="20"/>
          <w:lang w:val="en-US" w:eastAsia="zh-CN"/>
        </w:rPr>
      </w:pPr>
      <w:bookmarkStart w:id="94" w:name="OLE_LINK59"/>
      <w:r>
        <w:rPr>
          <w:rFonts w:hint="eastAsia" w:eastAsia="Times New Roman" w:cs="Arial"/>
          <w:i/>
          <w:color w:val="FF0000"/>
          <w:kern w:val="2"/>
          <w:sz w:val="20"/>
          <w:lang w:val="en-US" w:eastAsia="zh-CN"/>
        </w:rPr>
        <w:t>Editor</w:t>
      </w:r>
      <w:r>
        <w:rPr>
          <w:rFonts w:eastAsia="Times New Roman" w:cs="Arial"/>
          <w:i/>
          <w:color w:val="FF0000"/>
          <w:kern w:val="2"/>
          <w:sz w:val="20"/>
          <w:lang w:val="en-US" w:eastAsia="zh-CN"/>
        </w:rPr>
        <w:t>’</w:t>
      </w:r>
      <w:r>
        <w:rPr>
          <w:rFonts w:hint="eastAsia" w:eastAsia="Times New Roman" w:cs="Arial"/>
          <w:i/>
          <w:color w:val="FF0000"/>
          <w:kern w:val="2"/>
          <w:sz w:val="20"/>
          <w:lang w:val="en-US" w:eastAsia="zh-CN"/>
        </w:rPr>
        <w:t xml:space="preserve">s </w:t>
      </w:r>
      <w:r>
        <w:rPr>
          <w:rFonts w:hint="eastAsia" w:eastAsia="Times New Roman"/>
          <w:i/>
          <w:iCs/>
          <w:color w:val="FF0000"/>
          <w:sz w:val="20"/>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rPr>
          <w:sz w:val="20"/>
        </w:rPr>
      </w:pPr>
      <w:r>
        <w:rPr>
          <w:sz w:val="20"/>
          <w:lang w:eastAsia="zh-CN"/>
        </w:rPr>
        <w:t xml:space="preserve">Table </w:t>
      </w:r>
      <w:r>
        <w:rPr>
          <w:rFonts w:hint="eastAsia"/>
          <w:sz w:val="20"/>
          <w:lang w:val="en-US" w:eastAsia="zh-CN"/>
        </w:rPr>
        <w:t>5.x</w:t>
      </w:r>
      <w:r>
        <w:rPr>
          <w:sz w:val="20"/>
          <w:lang w:eastAsia="zh-CN"/>
        </w:rPr>
        <w:t>.</w:t>
      </w:r>
      <w:r>
        <w:rPr>
          <w:sz w:val="20"/>
          <w:lang w:val="en-US" w:eastAsia="zh-CN"/>
        </w:rPr>
        <w:t>1.3</w:t>
      </w:r>
      <w:r>
        <w:rPr>
          <w:sz w:val="20"/>
          <w:lang w:eastAsia="zh-CN"/>
        </w:rPr>
        <w:t>-1</w:t>
      </w:r>
      <w:r>
        <w:rPr>
          <w:rFonts w:hint="eastAsia"/>
          <w:sz w:val="20"/>
          <w:lang w:val="en-US" w:eastAsia="zh-CN"/>
        </w:rPr>
        <w:t xml:space="preserve"> </w:t>
      </w:r>
      <w:r>
        <w:rPr>
          <w:sz w:val="20"/>
          <w:lang w:eastAsia="zh-CN"/>
        </w:rPr>
        <w:t xml:space="preserve">summarizes frequency ranges where harmonics and/or harmonics mixing occur for CA_ </w:t>
      </w:r>
      <w:r>
        <w:rPr>
          <w:sz w:val="20"/>
          <w:lang w:val="en-US" w:eastAsia="zh-CN"/>
        </w:rPr>
        <w:t>nX</w:t>
      </w:r>
      <w:r>
        <w:rPr>
          <w:sz w:val="20"/>
          <w:lang w:eastAsia="zh-CN"/>
        </w:rPr>
        <w:t>-</w:t>
      </w:r>
      <w:r>
        <w:rPr>
          <w:sz w:val="20"/>
          <w:lang w:val="en-US" w:eastAsia="zh-CN"/>
        </w:rPr>
        <w:t>nY</w:t>
      </w:r>
      <w:r>
        <w:rPr>
          <w:sz w:val="20"/>
          <w:lang w:eastAsia="zh-CN"/>
        </w:rPr>
        <w:t>.</w:t>
      </w:r>
    </w:p>
    <w:bookmarkEnd w:id="94"/>
    <w:p>
      <w:pPr>
        <w:keepNext/>
        <w:keepLines/>
        <w:jc w:val="center"/>
        <w:rPr>
          <w:rFonts w:ascii="Arial" w:hAnsi="Arial" w:cs="Arial"/>
          <w:b/>
          <w:kern w:val="2"/>
          <w:sz w:val="20"/>
          <w:lang w:val="en-US" w:eastAsia="zh-CN"/>
        </w:rPr>
      </w:pPr>
      <w:r>
        <w:rPr>
          <w:rFonts w:hint="eastAsia" w:ascii="Arial" w:hAnsi="Arial" w:cs="Arial"/>
          <w:b/>
          <w:kern w:val="2"/>
          <w:sz w:val="20"/>
          <w:lang w:val="en-US" w:eastAsia="zh-CN"/>
        </w:rPr>
        <w:t>T</w:t>
      </w:r>
      <w:r>
        <w:rPr>
          <w:rFonts w:ascii="Arial" w:hAnsi="Arial" w:cs="Arial"/>
          <w:b/>
          <w:kern w:val="2"/>
          <w:sz w:val="20"/>
          <w:lang w:val="en-US" w:eastAsia="zh-CN"/>
        </w:rPr>
        <w:t xml:space="preserve">able </w:t>
      </w:r>
      <w:r>
        <w:rPr>
          <w:rFonts w:hint="eastAsia" w:ascii="Arial" w:hAnsi="Arial" w:cs="Arial"/>
          <w:b/>
          <w:kern w:val="2"/>
          <w:sz w:val="20"/>
          <w:lang w:val="en-US" w:eastAsia="zh-CN"/>
        </w:rPr>
        <w:t>5.x</w:t>
      </w:r>
      <w:r>
        <w:rPr>
          <w:rFonts w:ascii="Arial" w:hAnsi="Arial" w:cs="Arial"/>
          <w:b/>
          <w:kern w:val="2"/>
          <w:sz w:val="20"/>
          <w:lang w:val="en-US" w:eastAsia="zh-CN"/>
        </w:rPr>
        <w:t>.1</w:t>
      </w:r>
      <w:r>
        <w:rPr>
          <w:rFonts w:hint="eastAsia" w:ascii="Arial" w:hAnsi="Arial" w:cs="Arial"/>
          <w:b/>
          <w:kern w:val="2"/>
          <w:sz w:val="20"/>
          <w:lang w:val="en-US" w:eastAsia="zh-CN"/>
        </w:rPr>
        <w:t xml:space="preserve">.3-1 </w:t>
      </w:r>
      <w:r>
        <w:rPr>
          <w:rFonts w:ascii="Arial" w:hAnsi="Arial" w:cs="Arial"/>
          <w:b/>
          <w:kern w:val="2"/>
          <w:sz w:val="20"/>
          <w:lang w:val="en-US" w:eastAsia="zh-CN"/>
        </w:rPr>
        <w:t>UL/DL harmonics</w:t>
      </w:r>
      <w:r>
        <w:rPr>
          <w:rFonts w:hint="eastAsia" w:ascii="Arial" w:hAnsi="Arial" w:cs="Arial"/>
          <w:b/>
          <w:kern w:val="2"/>
          <w:sz w:val="20"/>
          <w:lang w:val="en-US" w:eastAsia="zh-CN"/>
        </w:rPr>
        <w:t>/haromic mixing analysis</w:t>
      </w:r>
    </w:p>
    <w:tbl>
      <w:tblPr>
        <w:tblStyle w:val="76"/>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cs="Arial"/>
                <w:sz w:val="18"/>
                <w:szCs w:val="18"/>
                <w:lang w:val="en-US"/>
              </w:rPr>
            </w:pPr>
            <w:r>
              <w:rPr>
                <w:rFonts w:ascii="Arial" w:hAnsi="Arial" w:cs="Arial"/>
                <w:sz w:val="18"/>
                <w:szCs w:val="18"/>
                <w:lang w:val="en-US"/>
              </w:rPr>
              <w:t>text</w:t>
            </w:r>
          </w:p>
        </w:tc>
      </w:tr>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cs="Arial"/>
                <w:sz w:val="18"/>
                <w:szCs w:val="18"/>
                <w:lang w:val="en-US"/>
              </w:rPr>
            </w:pPr>
            <w:r>
              <w:rPr>
                <w:rFonts w:ascii="Arial" w:hAnsi="Arial" w:cs="Arial"/>
                <w:sz w:val="18"/>
                <w:szCs w:val="18"/>
                <w:lang w:val="en-US"/>
              </w:rPr>
              <w:t>text</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44"/>
              <w:rPr>
                <w:color w:val="auto"/>
                <w:lang w:val="en-US" w:eastAsia="zh-CN"/>
              </w:rPr>
            </w:pPr>
            <w:r>
              <w:rPr>
                <w:rFonts w:hint="eastAsia"/>
                <w:color w:val="auto"/>
                <w:lang w:val="en-US" w:eastAsia="zh-CN"/>
              </w:rPr>
              <w:t>Note 1: ULx means UL xth harmonic frequency, and DLy means DL yth harmonic frequency range</w:t>
            </w:r>
          </w:p>
          <w:p>
            <w:pPr>
              <w:pStyle w:val="144"/>
              <w:rPr>
                <w:color w:val="auto"/>
                <w:lang w:val="en-US"/>
              </w:rPr>
            </w:pPr>
            <w:r>
              <w:rPr>
                <w:color w:val="auto"/>
                <w:lang w:val="en-US"/>
              </w:rPr>
              <w:t xml:space="preserve">Note </w:t>
            </w:r>
            <w:r>
              <w:rPr>
                <w:rFonts w:hint="eastAsia"/>
                <w:color w:val="auto"/>
                <w:lang w:val="en-US" w:eastAsia="zh-CN"/>
              </w:rPr>
              <w:t>2</w:t>
            </w:r>
            <w:r>
              <w:rPr>
                <w:color w:val="auto"/>
                <w:lang w:val="en-US"/>
              </w:rPr>
              <w:t>: When a collision is detected with an overlap &gt;0Hz between the UL</w:t>
            </w:r>
            <w:r>
              <w:rPr>
                <w:rFonts w:hint="eastAsia"/>
                <w:color w:val="auto"/>
                <w:lang w:val="en-US" w:eastAsia="zh-CN"/>
              </w:rPr>
              <w:t>x</w:t>
            </w:r>
            <w:r>
              <w:rPr>
                <w:color w:val="auto"/>
                <w:lang w:val="en-US"/>
              </w:rPr>
              <w:t xml:space="preserve"> with DL</w:t>
            </w:r>
            <w:r>
              <w:rPr>
                <w:rFonts w:hint="eastAsia"/>
                <w:color w:val="auto"/>
                <w:lang w:val="en-US" w:eastAsia="zh-CN"/>
              </w:rPr>
              <w:t>y</w:t>
            </w:r>
            <w:r>
              <w:rPr>
                <w:color w:val="auto"/>
                <w:lang w:val="en-US"/>
              </w:rPr>
              <w:t xml:space="preserve"> frequency ranges, the </w:t>
            </w:r>
            <w:r>
              <w:rPr>
                <w:rFonts w:hint="eastAsia"/>
                <w:color w:val="auto"/>
                <w:lang w:val="en-US" w:eastAsia="zh-CN"/>
              </w:rPr>
              <w:t>ULx/DLy</w:t>
            </w:r>
            <w:r>
              <w:rPr>
                <w:color w:val="auto"/>
                <w:lang w:val="en-US"/>
              </w:rPr>
              <w:t xml:space="preserve"> cell is marked “D” for direct hit.</w:t>
            </w:r>
          </w:p>
          <w:p>
            <w:pPr>
              <w:pStyle w:val="144"/>
              <w:rPr>
                <w:b/>
                <w:bCs/>
                <w:color w:val="auto"/>
              </w:rPr>
            </w:pPr>
            <w:r>
              <w:rPr>
                <w:color w:val="auto"/>
                <w:lang w:val="en-US"/>
              </w:rPr>
              <w:t xml:space="preserve">        When the gap between UL</w:t>
            </w:r>
            <w:r>
              <w:rPr>
                <w:rFonts w:hint="eastAsia"/>
                <w:color w:val="auto"/>
                <w:lang w:val="en-US" w:eastAsia="zh-CN"/>
              </w:rPr>
              <w:t>x</w:t>
            </w:r>
            <w:r>
              <w:rPr>
                <w:color w:val="auto"/>
                <w:lang w:val="en-US"/>
              </w:rPr>
              <w:t xml:space="preserve"> and DL</w:t>
            </w:r>
            <w:r>
              <w:rPr>
                <w:rFonts w:hint="eastAsia"/>
                <w:color w:val="auto"/>
                <w:lang w:val="en-US" w:eastAsia="zh-CN"/>
              </w:rPr>
              <w:t>y</w:t>
            </w:r>
            <w:r>
              <w:rPr>
                <w:color w:val="auto"/>
                <w:lang w:val="en-US"/>
              </w:rPr>
              <w:t xml:space="preserve"> frequency range is from 0Hz to </w:t>
            </w:r>
            <w:r>
              <w:rPr>
                <w:rFonts w:hint="eastAsia"/>
                <w:color w:val="auto"/>
                <w:lang w:val="en-US" w:eastAsia="zh-CN"/>
              </w:rPr>
              <w:t>n</w:t>
            </w:r>
            <w:r>
              <w:rPr>
                <w:color w:val="auto"/>
                <w:lang w:val="en-US"/>
              </w:rPr>
              <w:t xml:space="preserve">*MinULCBW, the </w:t>
            </w:r>
            <w:r>
              <w:rPr>
                <w:rFonts w:hint="eastAsia"/>
                <w:color w:val="auto"/>
                <w:lang w:val="en-US" w:eastAsia="zh-CN"/>
              </w:rPr>
              <w:t>ULx/DLy</w:t>
            </w:r>
            <w:r>
              <w:rPr>
                <w:color w:val="auto"/>
                <w:lang w:val="en-US"/>
              </w:rPr>
              <w:t xml:space="preserve"> cell is marked “N” for Near miss.</w:t>
            </w:r>
          </w:p>
          <w:p>
            <w:pPr>
              <w:pStyle w:val="144"/>
              <w:rPr>
                <w:color w:val="auto"/>
                <w:lang w:val="en-US"/>
              </w:rPr>
            </w:pPr>
            <w:r>
              <w:rPr>
                <w:color w:val="auto"/>
                <w:lang w:val="en-US"/>
              </w:rPr>
              <w:t xml:space="preserve">Note </w:t>
            </w:r>
            <w:r>
              <w:rPr>
                <w:rFonts w:hint="eastAsia"/>
                <w:color w:val="auto"/>
                <w:lang w:val="en-US" w:eastAsia="zh-CN"/>
              </w:rPr>
              <w:t>3</w:t>
            </w:r>
            <w:r>
              <w:rPr>
                <w:color w:val="auto"/>
                <w:lang w:val="en-US"/>
              </w:rPr>
              <w:t>: UL3/DL2 harmonic mixing direct hit case for PC3/5 only apply for DL&gt;3GHz</w:t>
            </w:r>
          </w:p>
          <w:p>
            <w:pPr>
              <w:pStyle w:val="144"/>
              <w:rPr>
                <w:color w:val="auto"/>
                <w:lang w:val="en-US" w:eastAsia="zh-CN"/>
              </w:rPr>
            </w:pPr>
            <w:r>
              <w:rPr>
                <w:color w:val="auto"/>
                <w:lang w:val="en-US"/>
              </w:rPr>
              <w:t xml:space="preserve">Note </w:t>
            </w:r>
            <w:r>
              <w:rPr>
                <w:rFonts w:hint="eastAsia"/>
                <w:color w:val="auto"/>
                <w:lang w:val="en-US" w:eastAsia="zh-CN"/>
              </w:rPr>
              <w:t>4</w:t>
            </w:r>
            <w:r>
              <w:rPr>
                <w:color w:val="auto"/>
                <w:lang w:val="en-US"/>
              </w:rPr>
              <w:t>: For harmonic mixing, near-miss cases only apply for UL1 and odd DL</w:t>
            </w:r>
            <w:r>
              <w:rPr>
                <w:rFonts w:hint="eastAsia"/>
                <w:color w:val="auto"/>
                <w:lang w:val="en-US" w:eastAsia="zh-CN"/>
              </w:rPr>
              <w:t>y</w:t>
            </w:r>
            <w:r>
              <w:rPr>
                <w:color w:val="auto"/>
                <w:lang w:val="en-US"/>
              </w:rPr>
              <w:t xml:space="preserve"> orders.</w:t>
            </w:r>
          </w:p>
        </w:tc>
      </w:tr>
    </w:tbl>
    <w:p>
      <w:pPr>
        <w:rPr>
          <w:sz w:val="20"/>
          <w:lang w:eastAsia="zh-CN"/>
        </w:rPr>
      </w:pPr>
    </w:p>
    <w:p>
      <w:pPr>
        <w:rPr>
          <w:sz w:val="20"/>
        </w:rPr>
      </w:pPr>
      <w:r>
        <w:rPr>
          <w:sz w:val="20"/>
          <w:lang w:eastAsia="zh-CN"/>
        </w:rPr>
        <w:t xml:space="preserve">Table </w:t>
      </w:r>
      <w:r>
        <w:rPr>
          <w:rFonts w:hint="eastAsia"/>
          <w:sz w:val="20"/>
          <w:lang w:val="en-US" w:eastAsia="zh-CN"/>
        </w:rPr>
        <w:t>5.x</w:t>
      </w:r>
      <w:r>
        <w:rPr>
          <w:sz w:val="20"/>
          <w:lang w:eastAsia="zh-CN"/>
        </w:rPr>
        <w:t>.</w:t>
      </w:r>
      <w:r>
        <w:rPr>
          <w:sz w:val="20"/>
          <w:lang w:val="en-US" w:eastAsia="zh-CN"/>
        </w:rPr>
        <w:t>1.3</w:t>
      </w:r>
      <w:r>
        <w:rPr>
          <w:sz w:val="20"/>
          <w:lang w:eastAsia="zh-CN"/>
        </w:rPr>
        <w:t>-</w:t>
      </w:r>
      <w:r>
        <w:rPr>
          <w:rFonts w:hint="eastAsia"/>
          <w:sz w:val="20"/>
          <w:lang w:val="en-US" w:eastAsia="zh-CN"/>
        </w:rPr>
        <w:t xml:space="preserve">2 </w:t>
      </w:r>
      <w:r>
        <w:rPr>
          <w:sz w:val="20"/>
          <w:lang w:eastAsia="zh-CN"/>
        </w:rPr>
        <w:t xml:space="preserve">summarizes frequency ranges where </w:t>
      </w:r>
      <w:r>
        <w:rPr>
          <w:rFonts w:hint="eastAsia"/>
          <w:sz w:val="20"/>
          <w:lang w:val="en-US" w:eastAsia="zh-CN"/>
        </w:rPr>
        <w:t>cross band isolation may</w:t>
      </w:r>
      <w:r>
        <w:rPr>
          <w:sz w:val="20"/>
          <w:lang w:eastAsia="zh-CN"/>
        </w:rPr>
        <w:t xml:space="preserve"> occur for CA_</w:t>
      </w:r>
      <w:r>
        <w:rPr>
          <w:sz w:val="20"/>
          <w:lang w:val="en-US" w:eastAsia="zh-CN"/>
        </w:rPr>
        <w:t>nX</w:t>
      </w:r>
      <w:r>
        <w:rPr>
          <w:sz w:val="20"/>
          <w:lang w:eastAsia="zh-CN"/>
        </w:rPr>
        <w:t>-</w:t>
      </w:r>
      <w:r>
        <w:rPr>
          <w:sz w:val="20"/>
          <w:lang w:val="en-US" w:eastAsia="zh-CN"/>
        </w:rPr>
        <w:t>nY</w:t>
      </w:r>
      <w:r>
        <w:rPr>
          <w:sz w:val="20"/>
          <w:lang w:eastAsia="zh-CN"/>
        </w:rPr>
        <w:t>.</w:t>
      </w:r>
    </w:p>
    <w:p>
      <w:pPr>
        <w:pStyle w:val="28"/>
        <w:keepNext/>
        <w:keepLines/>
        <w:jc w:val="center"/>
        <w:rPr>
          <w:color w:val="auto"/>
          <w:lang w:eastAsia="zh-CN"/>
        </w:rPr>
      </w:pPr>
      <w:r>
        <w:rPr>
          <w:color w:val="auto"/>
        </w:rPr>
        <w:t xml:space="preserve">Table </w:t>
      </w:r>
      <w:r>
        <w:rPr>
          <w:rFonts w:hint="eastAsia" w:eastAsia="宋体"/>
          <w:color w:val="auto"/>
          <w:lang w:eastAsia="zh-CN"/>
        </w:rPr>
        <w:t>5.x.1.3-2</w:t>
      </w:r>
      <w:r>
        <w:rPr>
          <w:color w:val="auto"/>
        </w:rPr>
        <w:t xml:space="preserve">: Cross-band isolation </w:t>
      </w:r>
      <w:bookmarkStart w:id="95" w:name="OLE_LINK62"/>
      <w:r>
        <w:rPr>
          <w:color w:val="auto"/>
          <w:lang w:eastAsia="zh-CN"/>
        </w:rPr>
        <w:t>analysis</w:t>
      </w:r>
      <w:bookmarkEnd w:id="95"/>
    </w:p>
    <w:tbl>
      <w:tblPr>
        <w:tblStyle w:val="76"/>
        <w:tblW w:w="5147" w:type="pct"/>
        <w:tblInd w:w="-133" w:type="dxa"/>
        <w:tblLayout w:type="autofit"/>
        <w:tblCellMar>
          <w:top w:w="0" w:type="dxa"/>
          <w:left w:w="108" w:type="dxa"/>
          <w:bottom w:w="0" w:type="dxa"/>
          <w:right w:w="108" w:type="dxa"/>
        </w:tblCellMar>
      </w:tblPr>
      <w:tblGrid>
        <w:gridCol w:w="1529"/>
        <w:gridCol w:w="1926"/>
        <w:gridCol w:w="2282"/>
        <w:gridCol w:w="1950"/>
        <w:gridCol w:w="2460"/>
      </w:tblGrid>
      <w:tr>
        <w:tblPrEx>
          <w:tblCellMar>
            <w:top w:w="0" w:type="dxa"/>
            <w:left w:w="108" w:type="dxa"/>
            <w:bottom w:w="0" w:type="dxa"/>
            <w:right w:w="108" w:type="dxa"/>
          </w:tblCellMar>
        </w:tblPrEx>
        <w:trPr>
          <w:trHeight w:val="56" w:hRule="atLeast"/>
        </w:trPr>
        <w:tc>
          <w:tcPr>
            <w:tcW w:w="75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rPr>
            </w:pPr>
            <w:r>
              <w:rPr>
                <w:rFonts w:ascii="Arial" w:hAnsi="Arial" w:cs="Arial"/>
                <w:b/>
                <w:bCs/>
                <w:sz w:val="18"/>
                <w:szCs w:val="18"/>
              </w:rPr>
              <w:t>nX</w:t>
            </w:r>
          </w:p>
        </w:tc>
        <w:tc>
          <w:tcPr>
            <w:tcW w:w="2172"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rPr>
            </w:pPr>
            <w:r>
              <w:rPr>
                <w:rFonts w:ascii="Arial" w:hAnsi="Arial" w:cs="Arial"/>
                <w:b/>
                <w:bCs/>
                <w:sz w:val="18"/>
                <w:szCs w:val="18"/>
              </w:rPr>
              <w:t>nY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fhigh</w:t>
            </w:r>
          </w:p>
        </w:tc>
        <w:tc>
          <w:tcPr>
            <w:tcW w:w="961"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fUL (MHz)</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961"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21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fDL (MHz)</w:t>
            </w: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12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961"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21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54"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124"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95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246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54"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961"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21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ACLR1 range</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fxULlow-maxULCBWx</w:t>
            </w:r>
          </w:p>
        </w:tc>
        <w:tc>
          <w:tcPr>
            <w:tcW w:w="1124"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fxULhigh+maxULCBWx</w:t>
            </w:r>
          </w:p>
        </w:tc>
        <w:tc>
          <w:tcPr>
            <w:tcW w:w="961"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fyULlow-maxULCBWy</w:t>
            </w:r>
          </w:p>
        </w:tc>
        <w:tc>
          <w:tcPr>
            <w:tcW w:w="121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fxULlow-2*maxULCBWx</w:t>
            </w:r>
          </w:p>
        </w:tc>
        <w:tc>
          <w:tcPr>
            <w:tcW w:w="1124"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fxULhigh+2*maxULCBWx</w:t>
            </w:r>
          </w:p>
        </w:tc>
        <w:tc>
          <w:tcPr>
            <w:tcW w:w="96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fyULlow-2*maxULCBWy</w:t>
            </w: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fxULlow-3*maxULCBWx</w:t>
            </w:r>
          </w:p>
        </w:tc>
        <w:tc>
          <w:tcPr>
            <w:tcW w:w="1124"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fxULhigh+3*maxULCBWx</w:t>
            </w:r>
          </w:p>
        </w:tc>
        <w:tc>
          <w:tcPr>
            <w:tcW w:w="96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fyULlow-3*maxULCBWy</w:t>
            </w: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fxULlow-4*maxULCBWx</w:t>
            </w:r>
          </w:p>
        </w:tc>
        <w:tc>
          <w:tcPr>
            <w:tcW w:w="1124"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fxULhigh+4*maxULCBWx</w:t>
            </w:r>
          </w:p>
        </w:tc>
        <w:tc>
          <w:tcPr>
            <w:tcW w:w="96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fyULlow-4*maxULCBWy</w:t>
            </w: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fxULlow-5*maxULCBWx</w:t>
            </w:r>
          </w:p>
        </w:tc>
        <w:tc>
          <w:tcPr>
            <w:tcW w:w="1124"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fxULhigh+5*maxULCBWx</w:t>
            </w:r>
          </w:p>
        </w:tc>
        <w:tc>
          <w:tcPr>
            <w:tcW w:w="96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fyULlow-5*maxULCBWy</w:t>
            </w: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cs="Arial"/>
                <w:sz w:val="18"/>
                <w:szCs w:val="18"/>
              </w:rPr>
            </w:pPr>
          </w:p>
        </w:tc>
        <w:tc>
          <w:tcPr>
            <w:tcW w:w="2172"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cs="Arial"/>
                <w:sz w:val="18"/>
                <w:szCs w:val="18"/>
              </w:rPr>
            </w:pPr>
          </w:p>
        </w:tc>
      </w:tr>
      <w:tr>
        <w:tblPrEx>
          <w:tblCellMar>
            <w:top w:w="0" w:type="dxa"/>
            <w:left w:w="108" w:type="dxa"/>
            <w:bottom w:w="0" w:type="dxa"/>
            <w:right w:w="108" w:type="dxa"/>
          </w:tblCellMar>
        </w:tblPrEx>
        <w:trPr>
          <w:trHeight w:val="187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overflowPunct w:val="0"/>
              <w:autoSpaceDE w:val="0"/>
              <w:autoSpaceDN w:val="0"/>
              <w:adjustRightInd w:val="0"/>
              <w:spacing w:after="0"/>
              <w:ind w:left="851" w:hanging="851"/>
              <w:textAlignment w:val="baseline"/>
              <w:rPr>
                <w:rFonts w:ascii="Arial" w:hAnsi="Arial" w:eastAsia="Times New Roman" w:cs="Arial"/>
                <w:sz w:val="18"/>
                <w:szCs w:val="18"/>
                <w:lang w:eastAsia="en-GB"/>
              </w:rPr>
            </w:pPr>
            <w:r>
              <w:rPr>
                <w:rFonts w:ascii="Arial" w:hAnsi="Arial" w:eastAsia="Times New Roman"/>
                <w:sz w:val="18"/>
                <w:lang w:eastAsia="en-GB"/>
              </w:rPr>
              <w:t xml:space="preserve">Note 1: </w:t>
            </w:r>
            <w:r>
              <w:rPr>
                <w:rFonts w:ascii="Arial" w:hAnsi="Arial" w:eastAsia="Times New Roman" w:cs="Arial"/>
                <w:sz w:val="18"/>
                <w:szCs w:val="18"/>
                <w:lang w:eastAsia="en-GB"/>
              </w:rPr>
              <w:t>Even if there is no overlap up to ACLR5, MSD beyond the ACLR5 range should be evaluated further if:</w:t>
            </w:r>
          </w:p>
          <w:p>
            <w:pPr>
              <w:keepNext/>
              <w:keepLines/>
              <w:numPr>
                <w:ilvl w:val="0"/>
                <w:numId w:val="12"/>
              </w:numPr>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The UL aggressor band and DL aggressor band are part of the same or adjacent band group as described in </w:t>
            </w:r>
            <w:r>
              <w:rPr>
                <w:rFonts w:hint="eastAsia" w:ascii="Arial" w:hAnsi="Arial" w:eastAsia="宋体" w:cs="Arial"/>
                <w:sz w:val="18"/>
                <w:szCs w:val="18"/>
                <w:lang w:val="en-US" w:eastAsia="zh-CN"/>
              </w:rPr>
              <w:t>table A.1.</w:t>
            </w:r>
          </w:p>
          <w:p>
            <w:pPr>
              <w:keepNext/>
              <w:keepLines/>
              <w:numPr>
                <w:ilvl w:val="0"/>
                <w:numId w:val="12"/>
              </w:numPr>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If the DL band is above the UL band, it’s lower frequency edge must be below the UL lowest </w:t>
            </w:r>
            <w:r>
              <w:rPr>
                <w:rFonts w:hint="eastAsia" w:ascii="Arial" w:hAnsi="Arial" w:eastAsia="宋体" w:cs="Arial"/>
                <w:sz w:val="18"/>
                <w:szCs w:val="18"/>
                <w:lang w:val="en-US" w:eastAsia="zh-CN"/>
              </w:rPr>
              <w:t xml:space="preserve">2nd </w:t>
            </w:r>
            <w:r>
              <w:rPr>
                <w:rFonts w:ascii="Arial" w:hAnsi="Arial" w:eastAsia="Times New Roman" w:cs="Arial"/>
                <w:sz w:val="18"/>
                <w:szCs w:val="18"/>
                <w:lang w:eastAsia="en-GB"/>
              </w:rPr>
              <w:t>harmonic frequency</w:t>
            </w:r>
          </w:p>
          <w:p>
            <w:pPr>
              <w:keepNext/>
              <w:keepLines/>
              <w:numPr>
                <w:ilvl w:val="0"/>
                <w:numId w:val="12"/>
              </w:numPr>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en-GB"/>
              </w:rPr>
              <w:t>As an indicative threshold, if &gt;45dB UL rejection at the DL band frequency can be guaranteed, assuming a -130dBm/Hz TX noise floor level, the transmitter noise floor related MSD should be negligible</w:t>
            </w:r>
          </w:p>
          <w:p>
            <w:pPr>
              <w:pStyle w:val="144"/>
              <w:rPr>
                <w:rFonts w:eastAsia="Times New Roman" w:cs="Times New Roman"/>
                <w:color w:val="auto"/>
                <w:lang w:eastAsia="en-GB"/>
              </w:rPr>
            </w:pPr>
            <w:r>
              <w:rPr>
                <w:rFonts w:eastAsia="Times New Roman" w:cs="Times New Roman"/>
                <w:color w:val="auto"/>
                <w:lang w:eastAsia="en-GB"/>
              </w:rPr>
              <w:t>Note 2: The maximum UL channel bandwidth of the BCS (noted maxULCBW) is used to calculate the band ACLR ranges</w:t>
            </w:r>
          </w:p>
          <w:p>
            <w:pPr>
              <w:pStyle w:val="144"/>
              <w:rPr>
                <w:color w:val="auto"/>
                <w:szCs w:val="18"/>
              </w:rPr>
            </w:pPr>
            <w:r>
              <w:rPr>
                <w:rFonts w:eastAsia="Times New Roman" w:cs="Times New Roman"/>
                <w:color w:val="auto"/>
                <w:lang w:eastAsia="en-GB"/>
              </w:rPr>
              <w:t>while the minimum DL channel bandwidth of the BCS (noted minDLCBW) is used for the DL band victim channel bandwidth.</w:t>
            </w:r>
          </w:p>
        </w:tc>
      </w:tr>
    </w:tbl>
    <w:p>
      <w:pPr>
        <w:rPr>
          <w:sz w:val="20"/>
          <w:lang w:eastAsia="zh-CN"/>
        </w:rPr>
      </w:pPr>
    </w:p>
    <w:p>
      <w:pPr>
        <w:rPr>
          <w:sz w:val="20"/>
          <w:lang w:val="en-US" w:eastAsia="zh-CN"/>
        </w:rPr>
      </w:pPr>
      <w:r>
        <w:rPr>
          <w:sz w:val="20"/>
          <w:lang w:eastAsia="zh-CN"/>
        </w:rPr>
        <w:t xml:space="preserve">Table </w:t>
      </w:r>
      <w:r>
        <w:rPr>
          <w:rFonts w:hint="eastAsia"/>
          <w:sz w:val="20"/>
          <w:lang w:eastAsia="zh-CN"/>
        </w:rPr>
        <w:t>5.</w:t>
      </w:r>
      <w:r>
        <w:rPr>
          <w:sz w:val="20"/>
          <w:lang w:eastAsia="zh-CN"/>
        </w:rPr>
        <w:t>X.1.3</w:t>
      </w:r>
      <w:r>
        <w:rPr>
          <w:rFonts w:hint="eastAsia"/>
          <w:sz w:val="20"/>
          <w:lang w:val="en-US" w:eastAsia="zh-CN"/>
        </w:rPr>
        <w:t>-3</w:t>
      </w:r>
      <w:r>
        <w:rPr>
          <w:sz w:val="20"/>
          <w:lang w:eastAsia="zh-CN"/>
        </w:rPr>
        <w:t xml:space="preserve"> summarizes frequency ranges</w:t>
      </w:r>
      <w:r>
        <w:rPr>
          <w:rFonts w:hint="eastAsia"/>
          <w:sz w:val="20"/>
          <w:lang w:val="en-US" w:eastAsia="zh-CN"/>
        </w:rPr>
        <w:t xml:space="preserve"> where IMD products caused by one UL band with 2CC intra-band UL CA may</w:t>
      </w:r>
      <w:r>
        <w:rPr>
          <w:sz w:val="20"/>
          <w:lang w:eastAsia="zh-CN"/>
        </w:rPr>
        <w:t xml:space="preserve"> occur for CA_ </w:t>
      </w:r>
      <w:r>
        <w:rPr>
          <w:sz w:val="20"/>
          <w:lang w:val="en-US" w:eastAsia="zh-CN"/>
        </w:rPr>
        <w:t>nX</w:t>
      </w:r>
      <w:r>
        <w:rPr>
          <w:sz w:val="20"/>
          <w:lang w:eastAsia="zh-CN"/>
        </w:rPr>
        <w:t>-</w:t>
      </w:r>
      <w:r>
        <w:rPr>
          <w:sz w:val="20"/>
          <w:lang w:val="en-US" w:eastAsia="zh-CN"/>
        </w:rPr>
        <w:t>nY</w:t>
      </w:r>
    </w:p>
    <w:p>
      <w:pPr>
        <w:jc w:val="center"/>
        <w:rPr>
          <w:rFonts w:ascii="Arial" w:hAnsi="Arial" w:cs="Arial"/>
          <w:b/>
          <w:sz w:val="20"/>
          <w:lang w:val="en-US"/>
        </w:rPr>
      </w:pPr>
      <w:r>
        <w:rPr>
          <w:rFonts w:ascii="Arial" w:hAnsi="Arial" w:cs="Arial"/>
          <w:b/>
          <w:sz w:val="20"/>
          <w:lang w:val="en-US" w:eastAsia="zh-CN"/>
        </w:rPr>
        <w:t xml:space="preserve">Table </w:t>
      </w:r>
      <w:r>
        <w:rPr>
          <w:rFonts w:hint="eastAsia" w:ascii="Arial" w:hAnsi="Arial" w:cs="Arial"/>
          <w:b/>
          <w:sz w:val="20"/>
          <w:lang w:val="en-US" w:eastAsia="zh-CN"/>
        </w:rPr>
        <w:t>5.x.1.3-3</w:t>
      </w:r>
      <w:r>
        <w:rPr>
          <w:rFonts w:ascii="Arial" w:hAnsi="Arial" w:cs="Arial"/>
          <w:b/>
          <w:sz w:val="20"/>
          <w:lang w:val="en-US" w:eastAsia="zh-CN"/>
        </w:rPr>
        <w:t>:</w:t>
      </w:r>
      <w:r>
        <w:rPr>
          <w:rFonts w:hint="eastAsia" w:ascii="Arial" w:hAnsi="Arial" w:cs="Arial"/>
          <w:b/>
          <w:sz w:val="20"/>
          <w:lang w:val="en-US" w:eastAsia="zh-CN"/>
        </w:rPr>
        <w:t xml:space="preserve"> </w:t>
      </w:r>
      <w:r>
        <w:rPr>
          <w:rFonts w:ascii="Arial" w:hAnsi="Arial" w:cs="Arial"/>
          <w:b/>
          <w:sz w:val="20"/>
          <w:lang w:val="en-US"/>
        </w:rPr>
        <w:t>Intra-band ULCA IMD overlap with the other DL band analysis.</w:t>
      </w:r>
    </w:p>
    <w:tbl>
      <w:tblPr>
        <w:tblStyle w:val="76"/>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80"/>
              <w:rPr>
                <w:rStyle w:val="249"/>
                <w:color w:val="auto"/>
                <w:lang w:val="en-US" w:eastAsia="en-US"/>
              </w:rPr>
            </w:pPr>
            <w:r>
              <w:rPr>
                <w:rStyle w:val="249"/>
                <w:color w:val="auto"/>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80"/>
              <w:rPr>
                <w:rStyle w:val="249"/>
                <w:color w:val="auto"/>
                <w:lang w:val="en-US" w:eastAsia="en-US"/>
              </w:rPr>
            </w:pPr>
            <w:r>
              <w:rPr>
                <w:rStyle w:val="249"/>
                <w:color w:val="auto"/>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80"/>
              <w:rPr>
                <w:rStyle w:val="249"/>
                <w:color w:val="auto"/>
                <w:lang w:val="en-US" w:eastAsia="en-US"/>
              </w:rPr>
            </w:pPr>
            <w:r>
              <w:rPr>
                <w:rStyle w:val="249"/>
                <w:color w:val="auto"/>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80"/>
              <w:rPr>
                <w:rStyle w:val="249"/>
                <w:color w:val="auto"/>
                <w:lang w:val="en-US" w:eastAsia="en-US"/>
              </w:rPr>
            </w:pPr>
            <w:r>
              <w:rPr>
                <w:rStyle w:val="249"/>
                <w:color w:val="auto"/>
                <w:lang w:val="en-US" w:eastAsia="en-US"/>
              </w:rPr>
              <w:t>BB IMD range</w:t>
            </w:r>
            <w:r>
              <w:rPr>
                <w:rStyle w:val="249"/>
                <w:color w:val="auto"/>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80"/>
              <w:rPr>
                <w:color w:val="auto"/>
                <w:lang w:val="en-US"/>
              </w:rPr>
            </w:pPr>
            <w:r>
              <w:rPr>
                <w:rFonts w:hint="eastAsia" w:eastAsia="宋体"/>
                <w:color w:val="auto"/>
                <w:lang w:val="en-US" w:eastAsia="zh-CN"/>
              </w:rPr>
              <w:t xml:space="preserve">nX </w:t>
            </w:r>
            <w:r>
              <w:rPr>
                <w:color w:val="auto"/>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746" w:type="dxa"/>
            <w:vMerge w:val="restart"/>
            <w:tcBorders>
              <w:top w:val="nil"/>
              <w:left w:val="nil"/>
              <w:right w:val="single" w:color="auto" w:sz="4" w:space="0"/>
            </w:tcBorders>
            <w:shd w:val="clear" w:color="auto" w:fill="auto"/>
            <w:noWrap/>
            <w:vAlign w:val="center"/>
          </w:tcPr>
          <w:p>
            <w:pPr>
              <w:pStyle w:val="180"/>
              <w:rPr>
                <w:color w:val="auto"/>
                <w:lang w:val="en-US"/>
              </w:rPr>
            </w:pPr>
            <w:r>
              <w:rPr>
                <w:color w:val="auto"/>
                <w:lang w:val="en-US"/>
              </w:rPr>
              <w:t>Order</w:t>
            </w:r>
          </w:p>
        </w:tc>
        <w:tc>
          <w:tcPr>
            <w:tcW w:w="2229" w:type="dxa"/>
            <w:vMerge w:val="restart"/>
            <w:tcBorders>
              <w:top w:val="nil"/>
              <w:left w:val="nil"/>
              <w:right w:val="single" w:color="auto" w:sz="4" w:space="0"/>
            </w:tcBorders>
            <w:shd w:val="clear" w:color="auto" w:fill="auto"/>
            <w:noWrap/>
            <w:vAlign w:val="center"/>
          </w:tcPr>
          <w:p>
            <w:pPr>
              <w:pStyle w:val="180"/>
              <w:rPr>
                <w:color w:val="auto"/>
                <w:lang w:val="en-US"/>
              </w:rPr>
            </w:pPr>
            <w:r>
              <w:rPr>
                <w:color w:val="auto"/>
                <w:lang w:val="en-US"/>
              </w:rPr>
              <w:t>flow</w:t>
            </w:r>
          </w:p>
        </w:tc>
        <w:tc>
          <w:tcPr>
            <w:tcW w:w="2297" w:type="dxa"/>
            <w:vMerge w:val="restart"/>
            <w:tcBorders>
              <w:top w:val="nil"/>
              <w:left w:val="nil"/>
              <w:right w:val="single" w:color="auto" w:sz="4" w:space="0"/>
            </w:tcBorders>
            <w:shd w:val="clear" w:color="auto" w:fill="auto"/>
            <w:noWrap/>
            <w:vAlign w:val="center"/>
          </w:tcPr>
          <w:p>
            <w:pPr>
              <w:pStyle w:val="180"/>
              <w:rPr>
                <w:color w:val="auto"/>
                <w:lang w:val="en-US"/>
              </w:rPr>
            </w:pPr>
            <w:r>
              <w:rPr>
                <w:color w:val="auto"/>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80"/>
              <w:rPr>
                <w:color w:val="auto"/>
                <w:lang w:val="en-US"/>
              </w:rPr>
            </w:pPr>
            <w:r>
              <w:rPr>
                <w:rFonts w:hint="eastAsia" w:eastAsia="宋体"/>
                <w:color w:val="auto"/>
                <w:lang w:val="en-US" w:eastAsia="zh-CN"/>
              </w:rPr>
              <w:t xml:space="preserve">nY </w:t>
            </w:r>
            <w:r>
              <w:rPr>
                <w:color w:val="auto"/>
                <w:lang w:val="en-US"/>
              </w:rPr>
              <w:t>f</w:t>
            </w:r>
            <w:r>
              <w:rPr>
                <w:rFonts w:hint="eastAsia" w:eastAsia="宋体"/>
                <w:color w:val="auto"/>
                <w:lang w:val="en-US" w:eastAsia="zh-CN"/>
              </w:rPr>
              <w:t>D</w:t>
            </w:r>
            <w:r>
              <w:rPr>
                <w:color w:val="auto"/>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80"/>
              <w:rPr>
                <w:color w:val="auto"/>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80"/>
              <w:rPr>
                <w:color w:val="auto"/>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8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80"/>
              <w:rPr>
                <w:color w:val="auto"/>
                <w:lang w:val="en-US"/>
              </w:rPr>
            </w:pPr>
            <w:r>
              <w:rPr>
                <w:color w:val="auto"/>
                <w:lang w:val="en-US"/>
              </w:rPr>
              <w:t>2CCBW</w:t>
            </w:r>
            <w:r>
              <w:rPr>
                <w:color w:val="auto"/>
                <w:vertAlign w:val="superscript"/>
                <w:lang w:val="en-US"/>
              </w:rPr>
              <w:t>1</w:t>
            </w:r>
          </w:p>
          <w:p>
            <w:pPr>
              <w:pStyle w:val="18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rPr>
                <w:rFonts w:eastAsia="宋体"/>
                <w:color w:val="auto"/>
                <w:lang w:val="en-US" w:eastAsia="zh-CN"/>
              </w:rPr>
            </w:pPr>
            <w:r>
              <w:rPr>
                <w:rFonts w:hint="eastAsia" w:eastAsia="宋体"/>
                <w:color w:val="auto"/>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rFonts w:hint="eastAsia" w:eastAsia="宋体"/>
                <w:color w:val="auto"/>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rPr>
                <w:color w:val="auto"/>
                <w:lang w:val="en-US"/>
              </w:rPr>
            </w:pPr>
            <w:r>
              <w:rPr>
                <w:color w:val="auto"/>
                <w:lang w:val="en-US"/>
              </w:rPr>
              <w:t>IMD2</w:t>
            </w:r>
            <w:r>
              <w:rPr>
                <w:color w:val="auto"/>
                <w:lang w:val="en-US"/>
              </w:rPr>
              <w:br w:type="textWrapping"/>
            </w:r>
            <w:r>
              <w:rPr>
                <w:color w:val="auto"/>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8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8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80"/>
              <w:rPr>
                <w:color w:val="auto"/>
                <w:lang w:val="en-US"/>
              </w:rPr>
            </w:pPr>
            <w:r>
              <w:rPr>
                <w:color w:val="auto"/>
                <w:lang w:val="en-US"/>
              </w:rPr>
              <w:t>Close to UL IMD range</w:t>
            </w:r>
            <w:r>
              <w:rPr>
                <w:color w:val="auto"/>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rPr>
                <w:color w:val="auto"/>
                <w:lang w:val="en-US"/>
              </w:rPr>
            </w:pPr>
            <w:r>
              <w:rPr>
                <w:color w:val="auto"/>
                <w:lang w:val="en-US"/>
              </w:rPr>
              <w:t>IMD4</w:t>
            </w:r>
            <w:r>
              <w:rPr>
                <w:color w:val="auto"/>
                <w:lang w:val="en-US"/>
              </w:rPr>
              <w:br w:type="textWrapping"/>
            </w:r>
            <w:r>
              <w:rPr>
                <w:color w:val="auto"/>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80"/>
              <w:rPr>
                <w:color w:val="auto"/>
                <w:lang w:val="en-US"/>
              </w:rPr>
            </w:pPr>
            <w:r>
              <w:rPr>
                <w:color w:val="auto"/>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80"/>
              <w:rPr>
                <w:color w:val="auto"/>
                <w:lang w:val="en-US"/>
              </w:rPr>
            </w:pPr>
            <w:r>
              <w:rPr>
                <w:color w:val="auto"/>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80"/>
              <w:rPr>
                <w:color w:val="auto"/>
                <w:lang w:val="en-US"/>
              </w:rPr>
            </w:pPr>
            <w:r>
              <w:rPr>
                <w:color w:val="auto"/>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8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rPr>
                <w:color w:val="auto"/>
                <w:lang w:val="en-US"/>
              </w:rPr>
            </w:pPr>
            <w:r>
              <w:rPr>
                <w:color w:val="auto"/>
                <w:lang w:val="en-US"/>
              </w:rPr>
              <w:t>IMD3</w:t>
            </w:r>
            <w:r>
              <w:rPr>
                <w:color w:val="auto"/>
                <w:lang w:val="en-US"/>
              </w:rPr>
              <w:br w:type="textWrapping"/>
            </w:r>
            <w:r>
              <w:rPr>
                <w:color w:val="auto"/>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rPr>
                <w:color w:val="auto"/>
                <w:lang w:val="en-US"/>
              </w:rPr>
            </w:pPr>
            <w:r>
              <w:rPr>
                <w:color w:val="auto"/>
                <w:lang w:val="en-US"/>
              </w:rPr>
              <w:t>IMD6</w:t>
            </w:r>
            <w:r>
              <w:rPr>
                <w:color w:val="auto"/>
                <w:lang w:val="en-US"/>
              </w:rPr>
              <w:br w:type="textWrapping"/>
            </w:r>
            <w:r>
              <w:rPr>
                <w:color w:val="auto"/>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rPr>
                <w:color w:val="auto"/>
                <w:lang w:val="en-US"/>
              </w:rPr>
            </w:pPr>
            <w:r>
              <w:rPr>
                <w:color w:val="auto"/>
                <w:lang w:val="en-US"/>
              </w:rPr>
              <w:t>IMD5</w:t>
            </w:r>
            <w:r>
              <w:rPr>
                <w:color w:val="auto"/>
                <w:lang w:val="en-US"/>
              </w:rPr>
              <w:br w:type="textWrapping"/>
            </w:r>
            <w:r>
              <w:rPr>
                <w:color w:val="auto"/>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80"/>
              <w:rPr>
                <w:color w:val="auto"/>
                <w:lang w:val="en-US"/>
              </w:rPr>
            </w:pPr>
            <w:r>
              <w:rPr>
                <w:color w:val="auto"/>
                <w:lang w:val="en-US"/>
              </w:rPr>
              <w:t>Close to H2 IMD range</w:t>
            </w:r>
            <w:r>
              <w:rPr>
                <w:color w:val="auto"/>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80"/>
              <w:rPr>
                <w:color w:val="auto"/>
                <w:lang w:val="en-US"/>
              </w:rPr>
            </w:pPr>
            <w:r>
              <w:rPr>
                <w:color w:val="auto"/>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80"/>
              <w:rPr>
                <w:color w:val="auto"/>
                <w:lang w:val="en-US"/>
              </w:rPr>
            </w:pPr>
            <w:r>
              <w:rPr>
                <w:color w:val="auto"/>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80"/>
              <w:rPr>
                <w:color w:val="auto"/>
                <w:lang w:val="en-US"/>
              </w:rPr>
            </w:pPr>
            <w:r>
              <w:rPr>
                <w:color w:val="auto"/>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rPr>
                <w:color w:val="auto"/>
                <w:lang w:val="en-US"/>
              </w:rPr>
            </w:pPr>
            <w:r>
              <w:rPr>
                <w:color w:val="auto"/>
                <w:lang w:val="en-US"/>
              </w:rPr>
              <w:t>IMD7</w:t>
            </w:r>
            <w:r>
              <w:rPr>
                <w:color w:val="auto"/>
                <w:lang w:val="en-US"/>
              </w:rPr>
              <w:br w:type="textWrapping"/>
            </w:r>
            <w:r>
              <w:rPr>
                <w:color w:val="auto"/>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rPr>
                <w:color w:val="auto"/>
                <w:lang w:val="en-US"/>
              </w:rPr>
            </w:pPr>
            <w:r>
              <w:rPr>
                <w:color w:val="auto"/>
                <w:lang w:val="en-US"/>
              </w:rPr>
              <w:t>IMD4</w:t>
            </w:r>
            <w:r>
              <w:rPr>
                <w:color w:val="auto"/>
                <w:lang w:val="en-US"/>
              </w:rPr>
              <w:br w:type="textWrapping"/>
            </w:r>
            <w:r>
              <w:rPr>
                <w:color w:val="auto"/>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8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rPr>
                <w:color w:val="auto"/>
                <w:lang w:val="en-US"/>
              </w:rPr>
            </w:pPr>
            <w:r>
              <w:rPr>
                <w:color w:val="auto"/>
                <w:lang w:val="en-US"/>
              </w:rPr>
              <w:t>IMD9</w:t>
            </w:r>
            <w:r>
              <w:rPr>
                <w:color w:val="auto"/>
                <w:lang w:val="en-US"/>
              </w:rPr>
              <w:br w:type="textWrapping"/>
            </w:r>
            <w:r>
              <w:rPr>
                <w:color w:val="auto"/>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rPr>
                <w:color w:val="auto"/>
                <w:lang w:val="en-US"/>
              </w:rPr>
            </w:pPr>
            <w:r>
              <w:rPr>
                <w:color w:val="auto"/>
                <w:lang w:val="en-US"/>
              </w:rPr>
              <w:t>IMD6</w:t>
            </w:r>
            <w:r>
              <w:rPr>
                <w:color w:val="auto"/>
                <w:lang w:val="en-US"/>
              </w:rPr>
              <w:br w:type="textWrapping"/>
            </w:r>
            <w:r>
              <w:rPr>
                <w:color w:val="auto"/>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8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rPr>
                <w:color w:val="auto"/>
                <w:lang w:val="en-US"/>
              </w:rPr>
            </w:pPr>
            <w:r>
              <w:rPr>
                <w:color w:val="auto"/>
                <w:lang w:val="en-US"/>
              </w:rPr>
              <w:t>IMD11</w:t>
            </w:r>
            <w:r>
              <w:rPr>
                <w:color w:val="auto"/>
                <w:lang w:val="en-US"/>
              </w:rPr>
              <w:br w:type="textWrapping"/>
            </w:r>
            <w:r>
              <w:rPr>
                <w:color w:val="auto"/>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80"/>
              <w:rPr>
                <w:color w:val="auto"/>
                <w:lang w:val="en-US"/>
              </w:rPr>
            </w:pPr>
            <w:r>
              <w:rPr>
                <w:color w:val="auto"/>
                <w:lang w:val="en-US"/>
              </w:rPr>
              <w:t>Close to H3 IMD range</w:t>
            </w:r>
            <w:r>
              <w:rPr>
                <w:color w:val="auto"/>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80"/>
              <w:rPr>
                <w:color w:val="auto"/>
                <w:lang w:val="en-US"/>
              </w:rPr>
            </w:pPr>
            <w:r>
              <w:rPr>
                <w:color w:val="auto"/>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80"/>
              <w:rPr>
                <w:color w:val="auto"/>
                <w:lang w:val="en-US"/>
              </w:rPr>
            </w:pPr>
            <w:r>
              <w:rPr>
                <w:color w:val="auto"/>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80"/>
              <w:rPr>
                <w:color w:val="auto"/>
                <w:lang w:val="en-US"/>
              </w:rPr>
            </w:pPr>
            <w:r>
              <w:rPr>
                <w:color w:val="auto"/>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rPr>
                <w:color w:val="auto"/>
                <w:lang w:val="en-US"/>
              </w:rPr>
            </w:pPr>
            <w:r>
              <w:rPr>
                <w:color w:val="auto"/>
                <w:lang w:val="en-US"/>
              </w:rPr>
              <w:t>IMD13</w:t>
            </w:r>
            <w:r>
              <w:rPr>
                <w:color w:val="auto"/>
                <w:lang w:val="en-US"/>
              </w:rPr>
              <w:br w:type="textWrapping"/>
            </w:r>
            <w:r>
              <w:rPr>
                <w:color w:val="auto"/>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rPr>
                <w:color w:val="auto"/>
                <w:lang w:val="en-US"/>
              </w:rPr>
            </w:pPr>
            <w:r>
              <w:rPr>
                <w:color w:val="auto"/>
                <w:lang w:val="en-US"/>
              </w:rPr>
              <w:t>IMD5</w:t>
            </w:r>
            <w:r>
              <w:rPr>
                <w:color w:val="auto"/>
                <w:lang w:val="en-US"/>
              </w:rPr>
              <w:br w:type="textWrapping"/>
            </w:r>
            <w:r>
              <w:rPr>
                <w:color w:val="auto"/>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r>
              <w:rPr>
                <w:color w:val="auto"/>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rPr>
                <w:color w:val="auto"/>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rPr>
            </w:pPr>
            <w:r>
              <w:rPr>
                <w:rFonts w:ascii="Arial" w:hAnsi="Arial" w:cs="Arial"/>
                <w:sz w:val="18"/>
                <w:szCs w:val="18"/>
                <w:lang w:val="en-US"/>
              </w:rPr>
              <w:t> </w:t>
            </w:r>
          </w:p>
        </w:tc>
      </w:tr>
      <w:tr>
        <w:tblPrEx>
          <w:tblCellMar>
            <w:top w:w="0" w:type="dxa"/>
            <w:left w:w="108" w:type="dxa"/>
            <w:bottom w:w="0" w:type="dxa"/>
            <w:right w:w="108" w:type="dxa"/>
          </w:tblCellMar>
        </w:tblPrEx>
        <w:trPr>
          <w:trHeight w:val="2438"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44"/>
              <w:rPr>
                <w:color w:val="auto"/>
                <w:lang w:val="en-US"/>
              </w:rPr>
            </w:pPr>
            <w:r>
              <w:rPr>
                <w:color w:val="auto"/>
                <w:lang w:val="en-US"/>
              </w:rPr>
              <w:t>Note 1: 2CCBW is the instantaneous transmit bandwidth of the two intra-band UL CCs:</w:t>
            </w:r>
            <w:r>
              <w:rPr>
                <w:color w:val="auto"/>
                <w:lang w:val="en-US"/>
              </w:rPr>
              <w:br w:type="textWrapping"/>
            </w:r>
            <w:r>
              <w:rPr>
                <w:color w:val="auto"/>
                <w:lang w:val="en-US"/>
              </w:rPr>
              <w:t>- The minimum 2CCBW for contiguous / non-contiguous intra-band ULCA is 0 / minimum UL channel bandwidth</w:t>
            </w:r>
            <w:r>
              <w:rPr>
                <w:color w:val="auto"/>
                <w:lang w:val="en-US"/>
              </w:rPr>
              <w:br w:type="textWrapping"/>
            </w:r>
            <w:r>
              <w:rPr>
                <w:color w:val="auto"/>
                <w:lang w:val="en-US"/>
              </w:rPr>
              <w:t>- The maximum 2CCBW for contiguous / non-contiguous ULCA is Min(maximum aggregated bandwidth / maximum separation bandwidth(600MHz),fULhigh-fULlow)</w:t>
            </w:r>
          </w:p>
          <w:p>
            <w:pPr>
              <w:pStyle w:val="144"/>
              <w:rPr>
                <w:color w:val="auto"/>
                <w:lang w:val="en-US"/>
              </w:rPr>
            </w:pPr>
            <w:r>
              <w:rPr>
                <w:color w:val="auto"/>
                <w:lang w:val="en-US"/>
              </w:rPr>
              <w:t>Note 2: The close to UL IMD range is the most critical when the victim DL band in proximity to the UL band:</w:t>
            </w:r>
            <w:r>
              <w:rPr>
                <w:color w:val="auto"/>
                <w:lang w:val="en-US"/>
              </w:rPr>
              <w:br w:type="textWrapping"/>
            </w:r>
            <w:r>
              <w:rPr>
                <w:color w:val="auto"/>
                <w:lang w:val="en-US"/>
              </w:rPr>
              <w:t>- For contiguous/non-contiguous intra-band ULCA within a TDD band, IMD order up to 9/7 should be considered and MPR assumed</w:t>
            </w:r>
            <w:r>
              <w:rPr>
                <w:color w:val="auto"/>
                <w:lang w:val="en-US"/>
              </w:rPr>
              <w:br w:type="textWrapping"/>
            </w: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44"/>
              <w:rPr>
                <w:color w:val="auto"/>
                <w:lang w:val="en-US"/>
              </w:rPr>
            </w:pPr>
            <w:r>
              <w:rPr>
                <w:color w:val="auto"/>
                <w:lang w:val="en-US"/>
              </w:rPr>
              <w:t>Note 3: The BB IMD range should only be considered if the DL band is below the UL band and for non-contiguous ULCA within a TDD band &gt;3GHz (assuming CA with 450MHz bands is not considered)</w:t>
            </w:r>
            <w:r>
              <w:rPr>
                <w:color w:val="auto"/>
                <w:lang w:val="en-US"/>
              </w:rPr>
              <w:br w:type="textWrapping"/>
            </w:r>
            <w:r>
              <w:rPr>
                <w:color w:val="auto"/>
                <w:lang w:val="en-US"/>
              </w:rPr>
              <w:t>-IMD2 is not considered assuming CA with 450MHz bands is not considered</w:t>
            </w:r>
            <w:r>
              <w:rPr>
                <w:color w:val="auto"/>
                <w:lang w:val="en-US"/>
              </w:rPr>
              <w:br w:type="textWrapping"/>
            </w:r>
            <w:r>
              <w:rPr>
                <w:color w:val="auto"/>
                <w:lang w:val="en-US"/>
              </w:rPr>
              <w:t>-IMD4 is considered for FDD or SimRx/Tx TDD bands &lt;1GHz</w:t>
            </w:r>
            <w:r>
              <w:rPr>
                <w:color w:val="auto"/>
                <w:lang w:val="en-US"/>
              </w:rPr>
              <w:br w:type="textWrapping"/>
            </w:r>
            <w:r>
              <w:rPr>
                <w:color w:val="auto"/>
                <w:lang w:val="en-US"/>
              </w:rPr>
              <w:t>-IMD6 is considered for FDD or SimRx/Tx TDD bands &lt;1.68GHz</w:t>
            </w:r>
          </w:p>
          <w:p>
            <w:pPr>
              <w:pStyle w:val="144"/>
              <w:rPr>
                <w:color w:val="auto"/>
                <w:lang w:val="en-US"/>
              </w:rPr>
            </w:pPr>
            <w:r>
              <w:rPr>
                <w:color w:val="auto"/>
                <w:lang w:val="en-US"/>
              </w:rPr>
              <w:t>Note 4: The harmonic 2 and 3 IMD ranges should only be considered if the DL band is above the UL band</w:t>
            </w:r>
          </w:p>
        </w:tc>
      </w:tr>
    </w:tbl>
    <w:p/>
    <w:p>
      <w:pPr>
        <w:pStyle w:val="5"/>
        <w:numPr>
          <w:ilvl w:val="3"/>
          <w:numId w:val="0"/>
        </w:numPr>
        <w:rPr>
          <w:lang w:eastAsia="zh-CN"/>
        </w:rPr>
      </w:pPr>
      <w:bookmarkStart w:id="96" w:name="_Toc6096"/>
      <w:bookmarkStart w:id="97" w:name="_Toc22198"/>
      <w:bookmarkStart w:id="98" w:name="_Toc4997"/>
      <w:bookmarkStart w:id="99" w:name="_Toc14045"/>
      <w:bookmarkStart w:id="100" w:name="_Toc18335"/>
      <w:bookmarkStart w:id="101" w:name="_Toc11540"/>
      <w:bookmarkStart w:id="102" w:name="_Toc10650"/>
      <w:bookmarkStart w:id="103" w:name="_Toc109047242"/>
      <w:bookmarkStart w:id="104" w:name="_Toc6563"/>
      <w:bookmarkStart w:id="105" w:name="_Toc11033"/>
      <w:bookmarkStart w:id="106" w:name="_Toc29206"/>
      <w:bookmarkStart w:id="107" w:name="_Toc31688"/>
      <w:bookmarkStart w:id="108" w:name="_Toc28008"/>
      <w:bookmarkStart w:id="109" w:name="_Toc8080"/>
      <w:bookmarkStart w:id="110" w:name="_Toc24598"/>
      <w:r>
        <w:rPr>
          <w:rFonts w:hint="eastAsia"/>
          <w:lang w:eastAsia="zh-CN"/>
        </w:rPr>
        <w:t>5.x.1.4</w:t>
      </w:r>
      <w:r>
        <w:rPr>
          <w:rFonts w:hint="eastAsia"/>
          <w:lang w:eastAsia="zh-CN"/>
        </w:rPr>
        <w:tab/>
      </w:r>
      <w:bookmarkStart w:id="111" w:name="_Hlk167407889"/>
      <w:r>
        <w:rPr>
          <w:rFonts w:hint="eastAsia"/>
          <w:lang w:val="en-US" w:eastAsia="zh-CN"/>
        </w:rPr>
        <w:t>∆TIB</w:t>
      </w:r>
      <w:r>
        <w:rPr>
          <w:lang w:val="en-US" w:eastAsia="zh-CN"/>
        </w:rPr>
        <w:t>,c</w:t>
      </w:r>
      <w:r>
        <w:rPr>
          <w:rFonts w:hint="eastAsia"/>
          <w:lang w:val="en-US" w:eastAsia="zh-CN"/>
        </w:rPr>
        <w:t xml:space="preserve"> and ∆RIB</w:t>
      </w:r>
      <w:r>
        <w:rPr>
          <w:lang w:val="en-US" w:eastAsia="zh-CN"/>
        </w:rPr>
        <w:t>,c</w:t>
      </w:r>
      <w:r>
        <w:rPr>
          <w:rFonts w:hint="eastAsia"/>
          <w:lang w:val="en-US" w:eastAsia="zh-CN"/>
        </w:rPr>
        <w:t xml:space="preserve"> values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rPr>
          <w:i/>
          <w:iCs/>
          <w:color w:val="FF0000"/>
          <w:sz w:val="20"/>
        </w:rPr>
      </w:pPr>
      <w:r>
        <w:rPr>
          <w:rFonts w:hint="eastAsia" w:eastAsia="Times New Roman"/>
          <w:i/>
          <w:iCs/>
          <w:color w:val="FF0000"/>
          <w:sz w:val="20"/>
          <w:lang w:eastAsia="zh-CN"/>
        </w:rPr>
        <w:t>Editor’s note: for the table of ∆T</w:t>
      </w:r>
      <w:r>
        <w:rPr>
          <w:rFonts w:hint="eastAsia" w:eastAsia="Times New Roman"/>
          <w:i/>
          <w:iCs/>
          <w:color w:val="FF0000"/>
          <w:sz w:val="20"/>
          <w:vertAlign w:val="subscript"/>
          <w:lang w:eastAsia="zh-CN"/>
        </w:rPr>
        <w:t>IB</w:t>
      </w:r>
      <w:r>
        <w:rPr>
          <w:rFonts w:hint="eastAsia" w:eastAsia="Times New Roman"/>
          <w:i/>
          <w:iCs/>
          <w:color w:val="FF0000"/>
          <w:sz w:val="20"/>
          <w:vertAlign w:val="subscript"/>
          <w:lang w:val="en-US" w:eastAsia="zh-CN"/>
        </w:rPr>
        <w:t>,c</w:t>
      </w:r>
      <w:r>
        <w:rPr>
          <w:rFonts w:hint="eastAsia" w:eastAsia="Times New Roman"/>
          <w:i/>
          <w:iCs/>
          <w:color w:val="FF0000"/>
          <w:sz w:val="20"/>
          <w:lang w:eastAsia="zh-CN"/>
        </w:rPr>
        <w:t xml:space="preserve"> and ∆R</w:t>
      </w:r>
      <w:r>
        <w:rPr>
          <w:rFonts w:hint="eastAsia" w:eastAsia="Times New Roman"/>
          <w:i/>
          <w:iCs/>
          <w:color w:val="FF0000"/>
          <w:sz w:val="20"/>
          <w:vertAlign w:val="subscript"/>
          <w:lang w:eastAsia="zh-CN"/>
        </w:rPr>
        <w:t>IB</w:t>
      </w:r>
      <w:r>
        <w:rPr>
          <w:rFonts w:hint="eastAsia" w:eastAsia="Times New Roman"/>
          <w:i/>
          <w:iCs/>
          <w:color w:val="FF0000"/>
          <w:sz w:val="20"/>
          <w:vertAlign w:val="subscript"/>
          <w:lang w:val="en-US" w:eastAsia="zh-CN"/>
        </w:rPr>
        <w:t>,c</w:t>
      </w:r>
      <w:r>
        <w:rPr>
          <w:rFonts w:hint="eastAsia" w:eastAsia="Times New Roman"/>
          <w:i/>
          <w:iCs/>
          <w:color w:val="FF0000"/>
          <w:sz w:val="20"/>
          <w:lang w:eastAsia="zh-CN"/>
        </w:rPr>
        <w:t xml:space="preserve"> values, please use the same table format as in</w:t>
      </w:r>
      <w:r>
        <w:rPr>
          <w:rFonts w:hint="eastAsia" w:eastAsia="Times New Roman"/>
          <w:i/>
          <w:iCs/>
          <w:color w:val="FF0000"/>
          <w:sz w:val="20"/>
          <w:lang w:eastAsia="zh-TW"/>
        </w:rPr>
        <w:t xml:space="preserve"> the latest </w:t>
      </w:r>
      <w:r>
        <w:rPr>
          <w:rFonts w:hint="eastAsia" w:eastAsia="Times New Roman"/>
          <w:i/>
          <w:iCs/>
          <w:color w:val="FF0000"/>
          <w:sz w:val="20"/>
          <w:lang w:eastAsia="zh-CN"/>
        </w:rPr>
        <w:t>TS 38.101-</w:t>
      </w:r>
      <w:r>
        <w:rPr>
          <w:rFonts w:hint="eastAsia" w:eastAsia="Times New Roman"/>
          <w:i/>
          <w:iCs/>
          <w:color w:val="FF0000"/>
          <w:sz w:val="20"/>
          <w:lang w:val="en-US" w:eastAsia="zh-CN"/>
        </w:rPr>
        <w:t>1</w:t>
      </w:r>
      <w:r>
        <w:rPr>
          <w:rFonts w:hint="eastAsia" w:eastAsia="Times New Roman"/>
          <w:i/>
          <w:iCs/>
          <w:color w:val="FF0000"/>
          <w:sz w:val="20"/>
          <w:lang w:eastAsia="zh-TW"/>
        </w:rPr>
        <w:t>, the table below is from the latest Rel.1</w:t>
      </w:r>
      <w:r>
        <w:rPr>
          <w:rFonts w:hint="eastAsia" w:eastAsia="宋体"/>
          <w:i/>
          <w:iCs/>
          <w:color w:val="FF0000"/>
          <w:sz w:val="20"/>
          <w:lang w:val="en-US" w:eastAsia="zh-CN"/>
        </w:rPr>
        <w:t>8</w:t>
      </w:r>
      <w:r>
        <w:rPr>
          <w:rFonts w:hint="eastAsia" w:eastAsia="Times New Roman"/>
          <w:i/>
          <w:iCs/>
          <w:color w:val="FF0000"/>
          <w:sz w:val="20"/>
          <w:lang w:eastAsia="zh-TW"/>
        </w:rPr>
        <w:t xml:space="preserve"> 38.101-</w:t>
      </w:r>
      <w:r>
        <w:rPr>
          <w:rFonts w:hint="eastAsia" w:eastAsia="宋体"/>
          <w:i/>
          <w:iCs/>
          <w:color w:val="FF0000"/>
          <w:sz w:val="20"/>
          <w:lang w:val="en-US" w:eastAsia="zh-CN"/>
        </w:rPr>
        <w:t>1</w:t>
      </w:r>
      <w:r>
        <w:rPr>
          <w:rFonts w:hint="eastAsia" w:eastAsia="Times New Roman"/>
          <w:i/>
          <w:iCs/>
          <w:color w:val="FF0000"/>
          <w:sz w:val="20"/>
          <w:lang w:eastAsia="zh-TW"/>
        </w:rPr>
        <w:t>, note that the table format might be changed in Rel.1</w:t>
      </w:r>
      <w:r>
        <w:rPr>
          <w:rFonts w:hint="eastAsia" w:eastAsia="宋体"/>
          <w:i/>
          <w:iCs/>
          <w:color w:val="FF0000"/>
          <w:sz w:val="20"/>
          <w:lang w:val="en-US" w:eastAsia="zh-CN"/>
        </w:rPr>
        <w:t>9</w:t>
      </w:r>
      <w:r>
        <w:rPr>
          <w:rFonts w:hint="eastAsia" w:eastAsia="Times New Roman"/>
          <w:i/>
          <w:iCs/>
          <w:color w:val="FF0000"/>
          <w:sz w:val="20"/>
          <w:lang w:eastAsia="zh-TW"/>
        </w:rPr>
        <w:t>.</w:t>
      </w:r>
      <w:r>
        <w:rPr>
          <w:rFonts w:hint="eastAsia" w:eastAsia="Times New Roman"/>
          <w:i/>
          <w:iCs/>
          <w:color w:val="FF0000"/>
          <w:sz w:val="20"/>
          <w:lang w:eastAsia="zh-CN"/>
        </w:rPr>
        <w:t xml:space="preserve"> </w:t>
      </w:r>
    </w:p>
    <w:p>
      <w:pPr>
        <w:rPr>
          <w:sz w:val="20"/>
        </w:rPr>
      </w:pPr>
      <w:r>
        <w:rPr>
          <w:sz w:val="20"/>
        </w:rPr>
        <w:t xml:space="preserve">For </w:t>
      </w:r>
      <w:r>
        <w:rPr>
          <w:sz w:val="20"/>
          <w:lang w:val="en-US" w:eastAsia="zh-CN"/>
        </w:rPr>
        <w:t>CA</w:t>
      </w:r>
      <w:r>
        <w:rPr>
          <w:sz w:val="20"/>
          <w:lang w:eastAsia="zh-CN"/>
        </w:rPr>
        <w:t>_</w:t>
      </w:r>
      <w:r>
        <w:rPr>
          <w:sz w:val="20"/>
          <w:lang w:val="en-US" w:eastAsia="zh-CN"/>
        </w:rPr>
        <w:t>nX</w:t>
      </w:r>
      <w:r>
        <w:rPr>
          <w:sz w:val="20"/>
          <w:lang w:eastAsia="ja-JP"/>
        </w:rPr>
        <w:t>-n</w:t>
      </w:r>
      <w:r>
        <w:rPr>
          <w:sz w:val="20"/>
          <w:lang w:val="en-US" w:eastAsia="zh-CN"/>
        </w:rPr>
        <w:t>Y</w:t>
      </w:r>
      <w:r>
        <w:rPr>
          <w:sz w:val="20"/>
        </w:rPr>
        <w:t>, the</w:t>
      </w:r>
      <w:r>
        <w:rPr>
          <w:sz w:val="20"/>
          <w:lang w:eastAsia="zh-CN"/>
        </w:rPr>
        <w:t xml:space="preserve"> </w:t>
      </w:r>
      <w:r>
        <w:rPr>
          <w:sz w:val="20"/>
        </w:rPr>
        <w:sym w:font="Symbol" w:char="F044"/>
      </w:r>
      <w:r>
        <w:rPr>
          <w:sz w:val="20"/>
        </w:rPr>
        <w:t>T</w:t>
      </w:r>
      <w:r>
        <w:rPr>
          <w:sz w:val="20"/>
          <w:vertAlign w:val="subscript"/>
        </w:rPr>
        <w:t>IB,c</w:t>
      </w:r>
      <w:r>
        <w:rPr>
          <w:sz w:val="20"/>
        </w:rPr>
        <w:t xml:space="preserve"> and</w:t>
      </w:r>
      <w:r>
        <w:rPr>
          <w:sz w:val="20"/>
          <w:lang w:eastAsia="zh-CN"/>
        </w:rPr>
        <w:t xml:space="preserve"> </w:t>
      </w:r>
      <w:r>
        <w:rPr>
          <w:sz w:val="20"/>
        </w:rPr>
        <w:sym w:font="Symbol" w:char="F044"/>
      </w:r>
      <w:r>
        <w:rPr>
          <w:sz w:val="20"/>
        </w:rPr>
        <w:t>R</w:t>
      </w:r>
      <w:r>
        <w:rPr>
          <w:sz w:val="20"/>
          <w:vertAlign w:val="subscript"/>
        </w:rPr>
        <w:t>IB</w:t>
      </w:r>
      <w:r>
        <w:rPr>
          <w:sz w:val="20"/>
          <w:vertAlign w:val="subscript"/>
          <w:lang w:eastAsia="zh-CN"/>
        </w:rPr>
        <w:t>,c</w:t>
      </w:r>
      <w:r>
        <w:rPr>
          <w:sz w:val="20"/>
        </w:rPr>
        <w:t xml:space="preserve"> values are given in the tables below.</w:t>
      </w:r>
    </w:p>
    <w:p>
      <w:pPr>
        <w:pStyle w:val="157"/>
        <w:rPr>
          <w:color w:val="auto"/>
        </w:rPr>
      </w:pPr>
      <w:r>
        <w:rPr>
          <w:color w:val="auto"/>
        </w:rPr>
        <w:t xml:space="preserve">Table </w:t>
      </w:r>
      <w:r>
        <w:rPr>
          <w:rFonts w:hint="eastAsia"/>
          <w:color w:val="auto"/>
          <w:lang w:val="en-US" w:eastAsia="zh-CN"/>
        </w:rPr>
        <w:t>5.x</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76"/>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80"/>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80"/>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80"/>
              <w:spacing w:line="260" w:lineRule="auto"/>
              <w:rPr>
                <w:color w:val="auto"/>
              </w:rPr>
            </w:pPr>
          </w:p>
        </w:tc>
        <w:tc>
          <w:tcPr>
            <w:tcW w:w="5904" w:type="dxa"/>
            <w:gridSpan w:val="2"/>
          </w:tcPr>
          <w:p>
            <w:pPr>
              <w:pStyle w:val="180"/>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81"/>
              <w:spacing w:line="260" w:lineRule="auto"/>
              <w:rPr>
                <w:color w:val="auto"/>
                <w:lang w:val="en-US" w:eastAsia="zh-CN"/>
              </w:rPr>
            </w:pPr>
            <w:r>
              <w:rPr>
                <w:color w:val="auto"/>
                <w:lang w:val="en-US"/>
              </w:rPr>
              <w:t>CA_nX-nY</w:t>
            </w:r>
          </w:p>
        </w:tc>
        <w:tc>
          <w:tcPr>
            <w:tcW w:w="2952" w:type="dxa"/>
            <w:vAlign w:val="center"/>
          </w:tcPr>
          <w:p>
            <w:pPr>
              <w:pStyle w:val="181"/>
              <w:spacing w:line="260" w:lineRule="auto"/>
              <w:rPr>
                <w:color w:val="auto"/>
                <w:lang w:val="en-US" w:eastAsia="zh-CN"/>
              </w:rPr>
            </w:pPr>
          </w:p>
        </w:tc>
        <w:tc>
          <w:tcPr>
            <w:tcW w:w="2952" w:type="dxa"/>
            <w:vAlign w:val="center"/>
          </w:tcPr>
          <w:p>
            <w:pPr>
              <w:pStyle w:val="181"/>
              <w:spacing w:line="260" w:lineRule="auto"/>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44"/>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keepNext/>
        <w:keepLines/>
        <w:rPr>
          <w:rFonts w:ascii="Arial" w:hAnsi="Arial" w:cs="Arial"/>
        </w:rPr>
      </w:pPr>
    </w:p>
    <w:p>
      <w:pPr>
        <w:pStyle w:val="157"/>
        <w:rPr>
          <w:color w:val="auto"/>
          <w:lang w:eastAsia="zh-CN"/>
        </w:rPr>
      </w:pPr>
      <w:r>
        <w:rPr>
          <w:color w:val="auto"/>
        </w:rPr>
        <w:t xml:space="preserve">Table </w:t>
      </w:r>
      <w:r>
        <w:rPr>
          <w:color w:val="auto"/>
          <w:lang w:val="en-US" w:eastAsia="zh-CN"/>
        </w:rPr>
        <w:t>5</w:t>
      </w:r>
      <w:r>
        <w:rPr>
          <w:color w:val="auto"/>
        </w:rPr>
        <w:t>.</w:t>
      </w:r>
      <w:r>
        <w:rPr>
          <w:color w:val="auto"/>
          <w:lang w:val="en-US" w:eastAsia="zh-CN"/>
        </w:rPr>
        <w:t>x.1.</w:t>
      </w:r>
      <w:r>
        <w:rPr>
          <w:color w:val="auto"/>
        </w:rPr>
        <w:t>4-2: ΔR</w:t>
      </w:r>
      <w:r>
        <w:rPr>
          <w:color w:val="auto"/>
          <w:vertAlign w:val="subscript"/>
        </w:rPr>
        <w:t>IB</w:t>
      </w:r>
      <w:r>
        <w:rPr>
          <w:color w:val="auto"/>
          <w:vertAlign w:val="subscript"/>
          <w:lang w:eastAsia="zh-CN"/>
        </w:rPr>
        <w:t>,c</w:t>
      </w:r>
    </w:p>
    <w:tbl>
      <w:tblPr>
        <w:tblStyle w:val="76"/>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80"/>
              <w:rPr>
                <w:color w:val="auto"/>
              </w:rPr>
            </w:pPr>
            <w:bookmarkStart w:id="112" w:name="_Toc21779"/>
            <w:bookmarkStart w:id="113" w:name="_Toc109047243"/>
            <w:r>
              <w:rPr>
                <w:color w:val="auto"/>
              </w:rPr>
              <w:t>Inter-band CA combination</w:t>
            </w:r>
          </w:p>
        </w:tc>
        <w:tc>
          <w:tcPr>
            <w:tcW w:w="5904" w:type="dxa"/>
            <w:gridSpan w:val="2"/>
          </w:tcPr>
          <w:p>
            <w:pPr>
              <w:pStyle w:val="180"/>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80"/>
              <w:rPr>
                <w:color w:val="auto"/>
              </w:rPr>
            </w:pPr>
          </w:p>
        </w:tc>
        <w:tc>
          <w:tcPr>
            <w:tcW w:w="5904" w:type="dxa"/>
            <w:gridSpan w:val="2"/>
          </w:tcPr>
          <w:p>
            <w:pPr>
              <w:pStyle w:val="180"/>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81"/>
              <w:rPr>
                <w:color w:val="auto"/>
              </w:rPr>
            </w:pPr>
            <w:r>
              <w:rPr>
                <w:rFonts w:hint="eastAsia"/>
                <w:color w:val="auto"/>
                <w:lang w:val="en-US" w:eastAsia="zh-CN"/>
              </w:rPr>
              <w:t>CA_n</w:t>
            </w:r>
            <w:r>
              <w:rPr>
                <w:color w:val="auto"/>
                <w:lang w:val="en-US" w:eastAsia="zh-CN"/>
              </w:rPr>
              <w:t>X</w:t>
            </w:r>
            <w:r>
              <w:rPr>
                <w:rFonts w:hint="eastAsia"/>
                <w:color w:val="auto"/>
                <w:lang w:val="en-US" w:eastAsia="zh-CN"/>
              </w:rPr>
              <w:t>-n</w:t>
            </w:r>
            <w:r>
              <w:rPr>
                <w:color w:val="auto"/>
                <w:lang w:val="en-US" w:eastAsia="zh-CN"/>
              </w:rPr>
              <w:t>Y</w:t>
            </w:r>
          </w:p>
        </w:tc>
        <w:tc>
          <w:tcPr>
            <w:tcW w:w="2952" w:type="dxa"/>
          </w:tcPr>
          <w:p>
            <w:pPr>
              <w:pStyle w:val="181"/>
              <w:rPr>
                <w:color w:val="auto"/>
                <w:lang w:eastAsia="ja-JP"/>
              </w:rPr>
            </w:pPr>
          </w:p>
        </w:tc>
        <w:tc>
          <w:tcPr>
            <w:tcW w:w="2952" w:type="dxa"/>
          </w:tcPr>
          <w:p>
            <w:pPr>
              <w:pStyle w:val="181"/>
              <w:rPr>
                <w:color w:val="aut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44"/>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44"/>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rFonts w:asciiTheme="minorHAnsi" w:hAnsiTheme="minorHAnsi"/>
                <w:color w:val="auto"/>
                <w:szCs w:val="18"/>
                <w:lang w:eastAsia="zh-CN"/>
              </w:rPr>
              <w:t xml:space="preserve">The component band order in the configuration should be listed by the </w:t>
            </w:r>
            <w:r>
              <w:rPr>
                <w:rFonts w:asciiTheme="minorHAnsi" w:hAnsiTheme="minorHAnsi" w:cstheme="minorHAnsi"/>
                <w:color w:val="auto"/>
                <w:szCs w:val="18"/>
              </w:rPr>
              <w:t>order</w:t>
            </w:r>
            <w:r>
              <w:rPr>
                <w:rFonts w:asciiTheme="minorHAnsi" w:hAnsiTheme="minorHAnsi"/>
                <w:color w:val="auto"/>
                <w:szCs w:val="18"/>
                <w:lang w:eastAsia="zh-CN"/>
              </w:rPr>
              <w:t xml:space="preserve"> of NR band</w:t>
            </w:r>
            <w:r>
              <w:rPr>
                <w:color w:val="auto"/>
                <w:lang w:eastAsia="zh-CN"/>
              </w:rPr>
              <w:t xml:space="preserve">s, </w:t>
            </w:r>
            <w:r>
              <w:rPr>
                <w:color w:val="auto"/>
                <w:szCs w:val="18"/>
                <w:lang w:eastAsia="zh-CN"/>
              </w:rPr>
              <w:t xml:space="preserve">such as for </w:t>
            </w:r>
            <w:r>
              <w:rPr>
                <w:color w:val="auto"/>
              </w:rPr>
              <w:t>CA</w:t>
            </w:r>
            <w:r>
              <w:rPr>
                <w:color w:val="auto"/>
                <w:lang w:val="sv-SE"/>
              </w:rPr>
              <w:t>_n1-n77</w:t>
            </w:r>
            <w:r>
              <w:rPr>
                <w:color w:val="auto"/>
                <w:szCs w:val="18"/>
                <w:lang w:eastAsia="zh-CN"/>
              </w:rPr>
              <w:t xml:space="preserve"> the band order from left to right is n1 and n77</w:t>
            </w:r>
            <w:r>
              <w:rPr>
                <w:color w:val="auto"/>
                <w:lang w:eastAsia="zh-CN"/>
              </w:rPr>
              <w:t>.</w:t>
            </w:r>
          </w:p>
        </w:tc>
      </w:tr>
    </w:tbl>
    <w:p/>
    <w:p>
      <w:pPr>
        <w:pStyle w:val="5"/>
        <w:numPr>
          <w:ilvl w:val="3"/>
          <w:numId w:val="0"/>
        </w:numPr>
        <w:rPr>
          <w:rFonts w:eastAsia="宋体"/>
          <w:lang w:val="en-US" w:eastAsia="zh-CN"/>
        </w:rPr>
      </w:pPr>
      <w:bookmarkStart w:id="114" w:name="_Toc17925"/>
      <w:bookmarkStart w:id="115" w:name="_Toc4361"/>
      <w:bookmarkStart w:id="116" w:name="_Toc22609"/>
      <w:bookmarkStart w:id="117" w:name="_Toc21161"/>
      <w:bookmarkStart w:id="118" w:name="_Toc4188"/>
      <w:bookmarkStart w:id="119" w:name="_Toc17819"/>
      <w:bookmarkStart w:id="120" w:name="_Toc3384"/>
      <w:bookmarkStart w:id="121" w:name="_Toc30997"/>
      <w:bookmarkStart w:id="122" w:name="_Toc16639"/>
      <w:r>
        <w:t>5.x.1.5</w:t>
      </w:r>
      <w:r>
        <w:tab/>
      </w:r>
      <w:bookmarkEnd w:id="112"/>
      <w:bookmarkEnd w:id="113"/>
      <w:bookmarkEnd w:id="114"/>
      <w:bookmarkEnd w:id="115"/>
      <w:bookmarkEnd w:id="116"/>
      <w:bookmarkEnd w:id="117"/>
      <w:bookmarkEnd w:id="118"/>
      <w:bookmarkEnd w:id="119"/>
      <w:bookmarkEnd w:id="120"/>
      <w:bookmarkEnd w:id="121"/>
      <w:bookmarkEnd w:id="122"/>
      <w:r>
        <w:rPr>
          <w:rFonts w:hint="eastAsia" w:eastAsia="宋体"/>
          <w:lang w:val="en-US" w:eastAsia="zh-CN"/>
        </w:rPr>
        <w:t>REFSEN requirements</w:t>
      </w:r>
    </w:p>
    <w:p>
      <w:pPr>
        <w:rPr>
          <w:rFonts w:eastAsia="Times New Roman"/>
          <w:i/>
          <w:iCs/>
          <w:color w:val="FF0000"/>
          <w:sz w:val="20"/>
          <w:lang w:val="en-US" w:eastAsia="zh-CN"/>
        </w:rPr>
      </w:pPr>
      <w:r>
        <w:rPr>
          <w:rFonts w:eastAsia="Times New Roman"/>
          <w:i/>
          <w:iCs/>
          <w:color w:val="FF0000"/>
          <w:sz w:val="20"/>
          <w:lang w:eastAsia="en-GB"/>
        </w:rPr>
        <w:t xml:space="preserve">Editor's note </w:t>
      </w:r>
      <w:r>
        <w:rPr>
          <w:rFonts w:hint="eastAsia" w:eastAsia="宋体"/>
          <w:i/>
          <w:iCs/>
          <w:color w:val="FF0000"/>
          <w:sz w:val="20"/>
          <w:lang w:val="en-US" w:eastAsia="zh-CN"/>
        </w:rPr>
        <w:t>1</w:t>
      </w:r>
      <w:r>
        <w:rPr>
          <w:rFonts w:eastAsia="Times New Roman"/>
          <w:i/>
          <w:iCs/>
          <w:color w:val="FF0000"/>
          <w:sz w:val="20"/>
          <w:lang w:eastAsia="en-GB"/>
        </w:rPr>
        <w:t xml:space="preserve">: Text </w:t>
      </w:r>
      <w:r>
        <w:rPr>
          <w:rFonts w:hint="eastAsia" w:eastAsia="宋体"/>
          <w:i/>
          <w:iCs/>
          <w:color w:val="FF0000"/>
          <w:sz w:val="20"/>
          <w:lang w:val="en-US" w:eastAsia="zh-CN"/>
        </w:rPr>
        <w:t xml:space="preserve">may </w:t>
      </w:r>
      <w:r>
        <w:rPr>
          <w:rFonts w:eastAsia="Times New Roman"/>
          <w:i/>
          <w:iCs/>
          <w:color w:val="FF0000"/>
          <w:sz w:val="20"/>
          <w:lang w:eastAsia="en-GB"/>
        </w:rPr>
        <w:t xml:space="preserve">be added if </w:t>
      </w:r>
      <w:r>
        <w:rPr>
          <w:rFonts w:eastAsia="宋体"/>
          <w:i/>
          <w:iCs/>
          <w:color w:val="FF0000"/>
          <w:kern w:val="2"/>
          <w:sz w:val="20"/>
          <w:lang w:val="en-US" w:eastAsia="en-GB"/>
        </w:rPr>
        <w:t>harmonics</w:t>
      </w:r>
      <w:r>
        <w:rPr>
          <w:rFonts w:hint="eastAsia" w:eastAsia="宋体"/>
          <w:i/>
          <w:iCs/>
          <w:color w:val="FF0000"/>
          <w:kern w:val="2"/>
          <w:sz w:val="20"/>
          <w:lang w:val="en-US" w:eastAsia="zh-CN"/>
        </w:rPr>
        <w:t>/</w:t>
      </w:r>
      <w:r>
        <w:rPr>
          <w:rFonts w:eastAsia="宋体"/>
          <w:i/>
          <w:iCs/>
          <w:color w:val="FF0000"/>
          <w:kern w:val="2"/>
          <w:sz w:val="20"/>
          <w:lang w:val="en-US" w:eastAsia="en-GB"/>
        </w:rPr>
        <w:t>harmonic mix</w:t>
      </w:r>
      <w:r>
        <w:rPr>
          <w:rFonts w:hint="eastAsia" w:eastAsia="宋体"/>
          <w:i/>
          <w:iCs/>
          <w:color w:val="FF0000"/>
          <w:kern w:val="2"/>
          <w:sz w:val="20"/>
          <w:lang w:val="en-US" w:eastAsia="zh-CN"/>
        </w:rPr>
        <w:t>ing/</w:t>
      </w:r>
      <w:r>
        <w:rPr>
          <w:rFonts w:eastAsia="宋体"/>
          <w:i/>
          <w:iCs/>
          <w:color w:val="FF0000"/>
          <w:kern w:val="2"/>
          <w:sz w:val="20"/>
          <w:lang w:val="en-US" w:eastAsia="en-GB"/>
        </w:rPr>
        <w:t>cross band isolation</w:t>
      </w:r>
      <w:r>
        <w:rPr>
          <w:rFonts w:hint="eastAsia" w:eastAsia="宋体"/>
          <w:i/>
          <w:iCs/>
          <w:color w:val="FF0000"/>
          <w:kern w:val="2"/>
          <w:sz w:val="20"/>
          <w:lang w:val="en-US" w:eastAsia="zh-CN"/>
        </w:rPr>
        <w:t>/</w:t>
      </w:r>
      <w:r>
        <w:rPr>
          <w:rFonts w:eastAsia="宋体"/>
          <w:i/>
          <w:iCs/>
          <w:color w:val="FF0000"/>
          <w:kern w:val="2"/>
          <w:sz w:val="20"/>
          <w:lang w:val="en-US"/>
        </w:rPr>
        <w:t>Intra-band ULCA IMD</w:t>
      </w:r>
      <w:r>
        <w:rPr>
          <w:rFonts w:eastAsia="Times New Roman"/>
          <w:i/>
          <w:iCs/>
          <w:color w:val="FF0000"/>
          <w:sz w:val="20"/>
          <w:lang w:eastAsia="en-GB"/>
        </w:rPr>
        <w:t xml:space="preserve"> issues are identified</w:t>
      </w:r>
      <w:r>
        <w:rPr>
          <w:rFonts w:hint="eastAsia" w:eastAsia="Times New Roman"/>
          <w:i/>
          <w:iCs/>
          <w:color w:val="FF0000"/>
          <w:sz w:val="20"/>
          <w:lang w:val="en-US" w:eastAsia="zh-CN"/>
        </w:rPr>
        <w:t xml:space="preserve"> in subclause 5.x.1.3.</w:t>
      </w:r>
    </w:p>
    <w:p>
      <w:pPr>
        <w:rPr>
          <w:rFonts w:eastAsia="宋体"/>
          <w:i/>
          <w:iCs/>
          <w:color w:val="FF0000"/>
          <w:sz w:val="20"/>
          <w:lang w:val="en-US" w:eastAsia="zh-CN"/>
        </w:rPr>
      </w:pPr>
      <w:r>
        <w:rPr>
          <w:rFonts w:eastAsia="宋体"/>
          <w:i/>
          <w:iCs/>
          <w:color w:val="FF0000"/>
          <w:sz w:val="20"/>
          <w:lang w:val="en-US" w:eastAsia="zh-CN"/>
        </w:rPr>
        <w:t xml:space="preserve">Editor's note </w:t>
      </w:r>
      <w:r>
        <w:rPr>
          <w:rFonts w:hint="eastAsia" w:eastAsia="宋体"/>
          <w:i/>
          <w:iCs/>
          <w:color w:val="FF0000"/>
          <w:sz w:val="20"/>
          <w:lang w:val="en-US" w:eastAsia="zh-CN"/>
        </w:rPr>
        <w:t>2</w:t>
      </w:r>
      <w:r>
        <w:rPr>
          <w:rFonts w:eastAsia="宋体"/>
          <w:i/>
          <w:iCs/>
          <w:color w:val="FF0000"/>
          <w:sz w:val="20"/>
          <w:lang w:val="en-US" w:eastAsia="zh-CN"/>
        </w:rPr>
        <w:t>: P</w:t>
      </w:r>
      <w:r>
        <w:rPr>
          <w:rFonts w:hint="eastAsia" w:eastAsia="宋体"/>
          <w:i/>
          <w:iCs/>
          <w:color w:val="FF0000"/>
          <w:sz w:val="20"/>
          <w:lang w:val="en-US" w:eastAsia="zh-CN"/>
        </w:rPr>
        <w:t xml:space="preserve">roponent </w:t>
      </w:r>
      <w:r>
        <w:rPr>
          <w:rFonts w:eastAsia="宋体"/>
          <w:i/>
          <w:iCs/>
          <w:color w:val="FF0000"/>
          <w:sz w:val="20"/>
          <w:lang w:val="en-US" w:eastAsia="zh-CN"/>
        </w:rPr>
        <w:t xml:space="preserve">are encouraged </w:t>
      </w:r>
      <w:r>
        <w:rPr>
          <w:rFonts w:hint="eastAsia" w:eastAsia="宋体"/>
          <w:i/>
          <w:iCs/>
          <w:color w:val="FF0000"/>
          <w:sz w:val="20"/>
          <w:lang w:val="en-US" w:eastAsia="zh-CN"/>
        </w:rPr>
        <w:t>to provide t</w:t>
      </w:r>
      <w:r>
        <w:rPr>
          <w:rFonts w:eastAsia="宋体"/>
          <w:i/>
          <w:iCs/>
          <w:color w:val="FF0000"/>
          <w:sz w:val="20"/>
          <w:lang w:val="en-US" w:eastAsia="zh-CN"/>
        </w:rPr>
        <w:t xml:space="preserve">he </w:t>
      </w:r>
      <w:r>
        <w:rPr>
          <w:rFonts w:hint="eastAsia" w:eastAsia="宋体"/>
          <w:i/>
          <w:iCs/>
          <w:color w:val="FF0000"/>
          <w:sz w:val="20"/>
          <w:lang w:val="en-US" w:eastAsia="zh-CN"/>
        </w:rPr>
        <w:t>detailed</w:t>
      </w:r>
      <w:r>
        <w:rPr>
          <w:rFonts w:eastAsia="宋体"/>
          <w:i/>
          <w:iCs/>
          <w:color w:val="FF0000"/>
          <w:sz w:val="20"/>
          <w:lang w:val="en-US" w:eastAsia="zh-CN"/>
        </w:rPr>
        <w:t xml:space="preserve"> </w:t>
      </w:r>
      <w:r>
        <w:rPr>
          <w:rFonts w:hint="eastAsia" w:eastAsia="宋体"/>
          <w:i/>
          <w:iCs/>
          <w:color w:val="FF0000"/>
          <w:sz w:val="20"/>
          <w:lang w:val="en-US" w:eastAsia="zh-CN"/>
        </w:rPr>
        <w:t xml:space="preserve">technical </w:t>
      </w:r>
      <w:r>
        <w:rPr>
          <w:rFonts w:eastAsia="宋体"/>
          <w:i/>
          <w:iCs/>
          <w:color w:val="FF0000"/>
          <w:sz w:val="20"/>
          <w:lang w:val="en-US" w:eastAsia="zh-CN"/>
        </w:rPr>
        <w:t xml:space="preserve">analysis </w:t>
      </w:r>
      <w:r>
        <w:rPr>
          <w:rFonts w:hint="eastAsia" w:eastAsia="宋体"/>
          <w:i/>
          <w:iCs/>
          <w:color w:val="FF0000"/>
          <w:sz w:val="20"/>
          <w:lang w:val="en-US" w:eastAsia="zh-CN"/>
        </w:rPr>
        <w:t xml:space="preserve">of </w:t>
      </w:r>
      <w:r>
        <w:rPr>
          <w:rFonts w:eastAsia="宋体"/>
          <w:i/>
          <w:iCs/>
          <w:color w:val="FF0000"/>
          <w:sz w:val="20"/>
          <w:lang w:val="en-US" w:eastAsia="zh-CN"/>
        </w:rPr>
        <w:t xml:space="preserve">the </w:t>
      </w:r>
      <w:r>
        <w:rPr>
          <w:rFonts w:hint="eastAsia" w:eastAsia="宋体"/>
          <w:i/>
          <w:iCs/>
          <w:color w:val="FF0000"/>
          <w:sz w:val="20"/>
          <w:lang w:val="en-US" w:eastAsia="zh-CN"/>
        </w:rPr>
        <w:t>MSD requirements</w:t>
      </w:r>
      <w:r>
        <w:rPr>
          <w:rFonts w:eastAsia="宋体"/>
          <w:i/>
          <w:iCs/>
          <w:color w:val="FF0000"/>
          <w:sz w:val="20"/>
          <w:lang w:val="en-US" w:eastAsia="zh-CN"/>
        </w:rPr>
        <w:t>.</w:t>
      </w:r>
      <w:r>
        <w:rPr>
          <w:rFonts w:hint="eastAsia" w:eastAsia="宋体"/>
          <w:i/>
          <w:iCs/>
          <w:color w:val="FF0000"/>
          <w:sz w:val="20"/>
          <w:lang w:val="en-US" w:eastAsia="zh-CN"/>
        </w:rPr>
        <w:t xml:space="preserve"> For example: RF architecrtu</w:t>
      </w:r>
      <w:r>
        <w:rPr>
          <w:rFonts w:eastAsia="宋体"/>
          <w:i/>
          <w:iCs/>
          <w:color w:val="FF0000"/>
          <w:sz w:val="20"/>
          <w:lang w:val="en-US" w:eastAsia="zh-CN"/>
        </w:rPr>
        <w:t>r</w:t>
      </w:r>
      <w:r>
        <w:rPr>
          <w:rFonts w:hint="eastAsia" w:eastAsia="宋体"/>
          <w:i/>
          <w:iCs/>
          <w:color w:val="FF0000"/>
          <w:sz w:val="20"/>
          <w:lang w:val="en-US" w:eastAsia="zh-CN"/>
        </w:rPr>
        <w:t>e, RFcomponents parameter, and etc.</w:t>
      </w:r>
      <w:r>
        <w:rPr>
          <w:rFonts w:eastAsia="宋体"/>
          <w:i/>
          <w:iCs/>
          <w:color w:val="FF0000"/>
          <w:sz w:val="20"/>
          <w:lang w:val="en-US" w:eastAsia="zh-CN"/>
        </w:rPr>
        <w:t xml:space="preserve"> </w:t>
      </w:r>
      <w:bookmarkStart w:id="123" w:name="_Hlk167407581"/>
      <w:r>
        <w:rPr>
          <w:rFonts w:eastAsia="宋体"/>
          <w:i/>
          <w:iCs/>
          <w:color w:val="FF0000"/>
          <w:sz w:val="20"/>
          <w:lang w:val="en-US" w:eastAsia="zh-CN"/>
        </w:rPr>
        <w:t>In the case where the proponent is missing some elements to calculate the REFSENS exception cases, the TP can be submitted to the “not for bl</w:t>
      </w:r>
      <w:r>
        <w:rPr>
          <w:rFonts w:hint="eastAsia" w:eastAsia="宋体"/>
          <w:i/>
          <w:iCs/>
          <w:color w:val="FF0000"/>
          <w:sz w:val="20"/>
          <w:lang w:val="en-US" w:eastAsia="zh-CN"/>
        </w:rPr>
        <w:t>o</w:t>
      </w:r>
      <w:r>
        <w:rPr>
          <w:rFonts w:eastAsia="宋体"/>
          <w:i/>
          <w:iCs/>
          <w:color w:val="FF0000"/>
          <w:sz w:val="20"/>
          <w:lang w:val="en-US" w:eastAsia="zh-CN"/>
        </w:rPr>
        <w:t xml:space="preserve">ck approval” AI for expert support. </w:t>
      </w:r>
      <w:bookmarkEnd w:id="123"/>
    </w:p>
    <w:p>
      <w:pPr>
        <w:rPr>
          <w:rFonts w:eastAsia="Times New Roman"/>
          <w:i/>
          <w:iCs/>
          <w:color w:val="FF0000"/>
          <w:sz w:val="20"/>
          <w:lang w:val="en-US"/>
        </w:rPr>
      </w:pPr>
      <w:r>
        <w:rPr>
          <w:i/>
          <w:iCs/>
          <w:color w:val="FF0000"/>
          <w:sz w:val="20"/>
        </w:rPr>
        <w:t>Editor's note</w:t>
      </w:r>
      <w:r>
        <w:rPr>
          <w:rFonts w:eastAsia="宋体"/>
          <w:i/>
          <w:iCs/>
          <w:color w:val="FF0000"/>
          <w:sz w:val="20"/>
          <w:lang w:val="en-US" w:eastAsia="zh-CN"/>
        </w:rPr>
        <w:t xml:space="preserve"> </w:t>
      </w:r>
      <w:r>
        <w:rPr>
          <w:rFonts w:hint="eastAsia"/>
          <w:i/>
          <w:iCs/>
          <w:color w:val="FF0000"/>
          <w:sz w:val="20"/>
          <w:lang w:val="en-US" w:eastAsia="zh-CN"/>
        </w:rPr>
        <w:t>3</w:t>
      </w:r>
      <w:r>
        <w:rPr>
          <w:i/>
          <w:iCs/>
          <w:color w:val="FF0000"/>
          <w:sz w:val="20"/>
        </w:rPr>
        <w:t xml:space="preserve">: </w:t>
      </w:r>
      <w:r>
        <w:rPr>
          <w:rFonts w:eastAsia="宋体"/>
          <w:i/>
          <w:iCs/>
          <w:color w:val="FF0000"/>
          <w:sz w:val="20"/>
          <w:lang w:val="en-US" w:eastAsia="zh-CN"/>
        </w:rPr>
        <w:t xml:space="preserve">The table format shall be the same with the corresponding tables in TS38.101-1, i.e.: Table 7.3A.4-1, </w:t>
      </w:r>
      <w:r>
        <w:rPr>
          <w:rFonts w:eastAsia="宋体"/>
          <w:i/>
          <w:iCs/>
          <w:color w:val="FF0000"/>
          <w:sz w:val="20"/>
          <w:lang w:val="en-US" w:eastAsia="ja-JP"/>
        </w:rPr>
        <w:t>Table 7.3A.</w:t>
      </w:r>
      <w:r>
        <w:rPr>
          <w:rFonts w:eastAsia="宋体"/>
          <w:i/>
          <w:iCs/>
          <w:color w:val="FF0000"/>
          <w:sz w:val="20"/>
          <w:lang w:val="en-US" w:eastAsia="zh-CN"/>
        </w:rPr>
        <w:t>4</w:t>
      </w:r>
      <w:r>
        <w:rPr>
          <w:rFonts w:eastAsia="宋体"/>
          <w:i/>
          <w:iCs/>
          <w:color w:val="FF0000"/>
          <w:sz w:val="20"/>
          <w:lang w:val="en-US" w:eastAsia="ja-JP"/>
        </w:rPr>
        <w:t>-4</w:t>
      </w:r>
      <w:r>
        <w:rPr>
          <w:rFonts w:eastAsia="宋体"/>
          <w:i/>
          <w:iCs/>
          <w:color w:val="FF0000"/>
          <w:sz w:val="20"/>
          <w:lang w:val="en-US" w:eastAsia="zh-CN"/>
        </w:rPr>
        <w:t>, Table 7.3A.6-1 for harmonics, harmonic mixing and cross band isolation, respectively.</w:t>
      </w:r>
    </w:p>
    <w:p>
      <w:pPr>
        <w:pStyle w:val="5"/>
        <w:numPr>
          <w:ilvl w:val="3"/>
          <w:numId w:val="0"/>
        </w:numPr>
      </w:pPr>
      <w:bookmarkStart w:id="124" w:name="_Toc109047244"/>
      <w:bookmarkStart w:id="125" w:name="_Toc30564"/>
      <w:bookmarkStart w:id="126" w:name="_Toc29255"/>
      <w:bookmarkStart w:id="127" w:name="_Toc220"/>
      <w:bookmarkStart w:id="128" w:name="_Toc2198"/>
      <w:bookmarkStart w:id="129" w:name="_Toc4166"/>
      <w:bookmarkStart w:id="130" w:name="_Toc21475"/>
      <w:bookmarkStart w:id="131" w:name="_Toc31115"/>
      <w:bookmarkStart w:id="132" w:name="_Toc14384"/>
      <w:bookmarkStart w:id="133" w:name="_Toc29633"/>
      <w:bookmarkStart w:id="134" w:name="_Toc27263"/>
      <w:r>
        <w:t>5.x.1.6</w:t>
      </w:r>
      <w:r>
        <w:tab/>
      </w:r>
      <w:r>
        <w:rPr>
          <w:rFonts w:cs="Arial"/>
          <w:szCs w:val="22"/>
          <w:lang w:val="en-US" w:eastAsia="zh-CN"/>
        </w:rPr>
        <w:t>OOB blocking exception requirements</w:t>
      </w:r>
      <w:bookmarkEnd w:id="124"/>
      <w:bookmarkEnd w:id="125"/>
      <w:bookmarkEnd w:id="126"/>
      <w:bookmarkEnd w:id="127"/>
      <w:bookmarkEnd w:id="128"/>
      <w:bookmarkEnd w:id="129"/>
      <w:bookmarkEnd w:id="130"/>
      <w:bookmarkEnd w:id="131"/>
      <w:bookmarkEnd w:id="132"/>
      <w:bookmarkEnd w:id="133"/>
      <w:bookmarkEnd w:id="134"/>
    </w:p>
    <w:p>
      <w:pPr>
        <w:pStyle w:val="157"/>
        <w:rPr>
          <w:color w:val="auto"/>
        </w:rPr>
      </w:pPr>
      <w:r>
        <w:rPr>
          <w:color w:val="auto"/>
        </w:rPr>
        <w:t xml:space="preserve">Table </w:t>
      </w:r>
      <w:r>
        <w:rPr>
          <w:rFonts w:hint="eastAsia"/>
          <w:color w:val="auto"/>
          <w:lang w:val="en-US" w:eastAsia="zh-CN"/>
        </w:rPr>
        <w:t>5.x</w:t>
      </w:r>
      <w:r>
        <w:rPr>
          <w:color w:val="auto"/>
          <w:lang w:val="en-US" w:eastAsia="zh-CN"/>
        </w:rPr>
        <w:t>.1.6-1</w:t>
      </w:r>
      <w:r>
        <w:rPr>
          <w:color w:val="auto"/>
        </w:rPr>
        <w:t>: CA band</w:t>
      </w:r>
      <w:r>
        <w:rPr>
          <w:color w:val="auto"/>
          <w:lang w:eastAsia="zh-CN"/>
        </w:rPr>
        <w:t xml:space="preserve"> combination </w:t>
      </w:r>
      <w:r>
        <w:rPr>
          <w:color w:val="auto"/>
        </w:rPr>
        <w:t>with exceptions allowed</w:t>
      </w:r>
    </w:p>
    <w:tbl>
      <w:tblPr>
        <w:tblStyle w:val="76"/>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0"/>
              <w:rPr>
                <w:color w:val="auto"/>
                <w:lang w:eastAsia="zh-CN"/>
              </w:rPr>
            </w:pPr>
            <w:r>
              <w:rPr>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81"/>
              <w:rPr>
                <w:color w:val="auto"/>
              </w:rPr>
            </w:pPr>
          </w:p>
        </w:tc>
      </w:tr>
    </w:tbl>
    <w:p>
      <w:pPr>
        <w:pStyle w:val="4"/>
        <w:numPr>
          <w:ilvl w:val="2"/>
          <w:numId w:val="0"/>
        </w:numPr>
        <w:tabs>
          <w:tab w:val="clear" w:pos="0"/>
        </w:tabs>
        <w:rPr>
          <w:rFonts w:cs="Arial"/>
          <w:lang w:eastAsia="zh-CN"/>
        </w:rPr>
      </w:pPr>
      <w:bookmarkStart w:id="135" w:name="_Toc13828"/>
      <w:bookmarkStart w:id="136" w:name="_Toc17950"/>
      <w:bookmarkStart w:id="137" w:name="_Toc4158"/>
      <w:bookmarkStart w:id="138" w:name="_Toc6634"/>
      <w:bookmarkStart w:id="139" w:name="_Toc27890"/>
      <w:bookmarkStart w:id="140" w:name="_Toc32530"/>
      <w:bookmarkStart w:id="141" w:name="_Toc19244"/>
      <w:bookmarkStart w:id="142" w:name="_Toc109047245"/>
      <w:bookmarkStart w:id="143" w:name="_Toc15863"/>
      <w:bookmarkStart w:id="144" w:name="_Toc19143"/>
      <w:bookmarkStart w:id="145" w:name="_Toc29312"/>
      <w:r>
        <w:t>5.x.2</w:t>
      </w:r>
      <w:r>
        <w:tab/>
      </w:r>
      <w:r>
        <w:rPr>
          <w:rFonts w:cs="Arial"/>
          <w:lang w:eastAsia="zh-CN"/>
        </w:rPr>
        <w:t>Specific for 2 bands UL CA</w:t>
      </w:r>
      <w:bookmarkEnd w:id="135"/>
      <w:bookmarkEnd w:id="136"/>
      <w:bookmarkEnd w:id="137"/>
      <w:bookmarkEnd w:id="138"/>
      <w:bookmarkEnd w:id="139"/>
      <w:bookmarkEnd w:id="140"/>
      <w:bookmarkEnd w:id="141"/>
      <w:bookmarkEnd w:id="142"/>
      <w:bookmarkEnd w:id="143"/>
      <w:bookmarkEnd w:id="144"/>
      <w:bookmarkEnd w:id="145"/>
    </w:p>
    <w:p>
      <w:pPr>
        <w:pStyle w:val="199"/>
        <w:overflowPunct w:val="0"/>
        <w:autoSpaceDE w:val="0"/>
        <w:autoSpaceDN w:val="0"/>
        <w:adjustRightInd w:val="0"/>
        <w:ind w:left="0" w:firstLine="0"/>
        <w:textAlignment w:val="baseline"/>
        <w:rPr>
          <w:rFonts w:ascii="Times New Roman" w:hAnsi="Times New Roman" w:eastAsia="Times New Roman" w:cs="Times New Roman"/>
          <w:i/>
          <w:iCs/>
          <w:lang w:eastAsia="en-GB"/>
        </w:rPr>
      </w:pPr>
      <w:r>
        <w:rPr>
          <w:rFonts w:ascii="Times New Roman" w:hAnsi="Times New Roman" w:eastAsia="Times New Roman" w:cs="Times New Roman"/>
          <w:i/>
          <w:iCs/>
          <w:lang w:eastAsia="en-GB"/>
        </w:rPr>
        <w:t xml:space="preserve">Editor's note: Text will be added if 2 bands UL CA are supported, otherwise all the clauses shall be void. </w:t>
      </w:r>
    </w:p>
    <w:p>
      <w:pPr>
        <w:pStyle w:val="5"/>
        <w:numPr>
          <w:ilvl w:val="3"/>
          <w:numId w:val="0"/>
        </w:numPr>
      </w:pPr>
      <w:bookmarkStart w:id="146" w:name="_Toc6409"/>
      <w:bookmarkStart w:id="147" w:name="_Toc19655"/>
      <w:bookmarkStart w:id="148" w:name="_Toc20531"/>
      <w:bookmarkStart w:id="149" w:name="_Toc4828"/>
      <w:bookmarkStart w:id="150" w:name="_Toc5471"/>
      <w:bookmarkStart w:id="151" w:name="_Toc31179"/>
      <w:bookmarkStart w:id="152" w:name="_Toc22319"/>
      <w:bookmarkStart w:id="153" w:name="_Toc12647"/>
      <w:bookmarkStart w:id="154" w:name="_Toc17838"/>
      <w:bookmarkStart w:id="155" w:name="_Toc20670"/>
      <w:bookmarkStart w:id="156" w:name="_Toc109047246"/>
      <w:r>
        <w:rPr>
          <w:rFonts w:hint="eastAsia" w:eastAsia="宋体"/>
          <w:lang w:val="en-US" w:eastAsia="zh-CN"/>
        </w:rPr>
        <w:t>Z</w:t>
      </w:r>
      <w:r>
        <w:t>5.x.2.1</w:t>
      </w:r>
      <w:r>
        <w:tab/>
      </w:r>
      <w:r>
        <w:rPr>
          <w:rFonts w:cs="Arial"/>
          <w:lang w:eastAsia="zh-CN"/>
        </w:rPr>
        <w:t xml:space="preserve">Maximum output power for </w:t>
      </w:r>
      <w:r>
        <w:rPr>
          <w:rFonts w:cs="Arial"/>
          <w:lang w:val="en-US" w:eastAsia="zh-CN"/>
        </w:rPr>
        <w:t>inter-band CA</w:t>
      </w:r>
      <w:bookmarkEnd w:id="146"/>
      <w:bookmarkEnd w:id="147"/>
      <w:bookmarkEnd w:id="148"/>
      <w:bookmarkEnd w:id="149"/>
      <w:bookmarkEnd w:id="150"/>
      <w:bookmarkEnd w:id="151"/>
      <w:bookmarkEnd w:id="152"/>
      <w:bookmarkEnd w:id="153"/>
      <w:bookmarkEnd w:id="154"/>
      <w:bookmarkEnd w:id="155"/>
      <w:bookmarkEnd w:id="156"/>
    </w:p>
    <w:p>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0"/>
              <w:rPr>
                <w:color w:val="auto"/>
              </w:rPr>
            </w:pPr>
            <w:r>
              <w:rPr>
                <w:color w:val="auto"/>
              </w:rPr>
              <w:t>Uplink CA Configuration</w:t>
            </w:r>
          </w:p>
        </w:tc>
        <w:tc>
          <w:tcPr>
            <w:tcW w:w="2622" w:type="dxa"/>
          </w:tcPr>
          <w:p>
            <w:pPr>
              <w:pStyle w:val="180"/>
              <w:rPr>
                <w:color w:val="auto"/>
              </w:rPr>
            </w:pPr>
            <w:r>
              <w:rPr>
                <w:rFonts w:hint="eastAsia" w:eastAsia="宋体"/>
                <w:color w:val="auto"/>
                <w:lang w:val="en-US" w:eastAsia="zh-CN"/>
              </w:rPr>
              <w:t xml:space="preserve">Power </w:t>
            </w:r>
            <w:r>
              <w:rPr>
                <w:color w:val="auto"/>
              </w:rPr>
              <w:t>Class 3 (dBm)</w:t>
            </w:r>
          </w:p>
        </w:tc>
        <w:tc>
          <w:tcPr>
            <w:tcW w:w="2930" w:type="dxa"/>
          </w:tcPr>
          <w:p>
            <w:pPr>
              <w:pStyle w:val="180"/>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nX</w:t>
            </w:r>
            <w:r>
              <w:rPr>
                <w:color w:val="auto"/>
                <w:szCs w:val="18"/>
                <w:lang w:val="sv-SE" w:eastAsia="ja-JP"/>
              </w:rPr>
              <w:t>A-</w:t>
            </w:r>
            <w:r>
              <w:rPr>
                <w:rFonts w:hint="eastAsia"/>
                <w:color w:val="auto"/>
                <w:szCs w:val="18"/>
                <w:lang w:val="en-US" w:eastAsia="zh-CN"/>
              </w:rPr>
              <w:t>nY</w:t>
            </w:r>
            <w:r>
              <w:rPr>
                <w:color w:val="auto"/>
                <w:szCs w:val="18"/>
                <w:lang w:val="sv-SE" w:eastAsia="ja-JP"/>
              </w:rPr>
              <w:t>A</w:t>
            </w:r>
          </w:p>
        </w:tc>
        <w:tc>
          <w:tcPr>
            <w:tcW w:w="2622" w:type="dxa"/>
          </w:tcPr>
          <w:p>
            <w:pPr>
              <w:pStyle w:val="181"/>
              <w:rPr>
                <w:color w:val="auto"/>
                <w:lang w:val="en-US" w:eastAsia="zh-CN"/>
              </w:rPr>
            </w:pPr>
            <w:r>
              <w:rPr>
                <w:color w:val="auto"/>
                <w:lang w:val="en-US" w:eastAsia="zh-CN"/>
              </w:rPr>
              <w:t>23</w:t>
            </w:r>
          </w:p>
        </w:tc>
        <w:tc>
          <w:tcPr>
            <w:tcW w:w="2930" w:type="dxa"/>
          </w:tcPr>
          <w:p>
            <w:pPr>
              <w:pStyle w:val="181"/>
              <w:rPr>
                <w:color w:val="auto"/>
              </w:rPr>
            </w:pPr>
            <w:r>
              <w:rPr>
                <w:color w:val="auto"/>
              </w:rPr>
              <w:t>+</w:t>
            </w:r>
            <w:r>
              <w:rPr>
                <w:color w:val="auto"/>
                <w:lang w:val="en-US" w:eastAsia="zh-CN"/>
              </w:rPr>
              <w:t>x</w:t>
            </w:r>
            <w:r>
              <w:rPr>
                <w:color w:val="auto"/>
              </w:rPr>
              <w:t>/-</w:t>
            </w:r>
            <w:r>
              <w:rPr>
                <w:color w:val="auto"/>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rPr>
          <w:lang w:val="en-US" w:eastAsia="zh-CN"/>
        </w:rPr>
      </w:pPr>
    </w:p>
    <w:p>
      <w:pPr>
        <w:pStyle w:val="5"/>
        <w:numPr>
          <w:ilvl w:val="3"/>
          <w:numId w:val="0"/>
        </w:numPr>
        <w:rPr>
          <w:rFonts w:cs="Arial"/>
          <w:lang w:val="en-US" w:eastAsia="zh-CN"/>
        </w:rPr>
      </w:pPr>
      <w:bookmarkStart w:id="157" w:name="_Toc109047247"/>
      <w:bookmarkStart w:id="158" w:name="_Toc8892"/>
      <w:bookmarkStart w:id="159" w:name="_Toc21664"/>
      <w:bookmarkStart w:id="160" w:name="_Toc31415"/>
      <w:bookmarkStart w:id="161" w:name="_Toc10922"/>
      <w:bookmarkStart w:id="162" w:name="_Toc23972"/>
      <w:bookmarkStart w:id="163" w:name="_Toc16916"/>
      <w:bookmarkStart w:id="164" w:name="_Toc21535"/>
      <w:bookmarkStart w:id="165" w:name="_Toc4879"/>
      <w:bookmarkStart w:id="166" w:name="_Toc2839"/>
      <w:bookmarkStart w:id="167" w:name="_Toc11157"/>
      <w:r>
        <w:t>5.x.2.2</w:t>
      </w:r>
      <w:r>
        <w:tab/>
      </w:r>
      <w:r>
        <w:rPr>
          <w:rFonts w:cs="Arial"/>
          <w:lang w:eastAsia="zh-CN"/>
        </w:rPr>
        <w:t>UE co-existence studies</w:t>
      </w:r>
      <w:bookmarkEnd w:id="157"/>
      <w:bookmarkEnd w:id="158"/>
      <w:bookmarkEnd w:id="159"/>
      <w:bookmarkEnd w:id="160"/>
      <w:bookmarkEnd w:id="161"/>
      <w:bookmarkEnd w:id="162"/>
      <w:bookmarkEnd w:id="163"/>
      <w:bookmarkEnd w:id="164"/>
      <w:bookmarkEnd w:id="165"/>
      <w:bookmarkEnd w:id="166"/>
      <w:bookmarkEnd w:id="167"/>
      <w:r>
        <w:rPr>
          <w:rFonts w:hint="eastAsia" w:cs="Arial"/>
          <w:lang w:val="en-US" w:eastAsia="zh-CN"/>
        </w:rPr>
        <w:t xml:space="preserve"> for 2 bands UL</w:t>
      </w:r>
    </w:p>
    <w:p>
      <w:pPr>
        <w:rPr>
          <w:rFonts w:eastAsia="Times New Roman"/>
          <w:i/>
          <w:iCs/>
          <w:color w:val="FF0000"/>
          <w:sz w:val="20"/>
          <w:lang w:eastAsia="en-GB"/>
        </w:rPr>
      </w:pPr>
      <w:bookmarkStart w:id="168" w:name="OLE_LINK66"/>
      <w:bookmarkStart w:id="169" w:name="OLE_LINK65"/>
      <w:r>
        <w:rPr>
          <w:rFonts w:hint="eastAsia" w:eastAsia="Times New Roman" w:cs="Arial"/>
          <w:i/>
          <w:color w:val="FF0000"/>
          <w:kern w:val="2"/>
          <w:sz w:val="20"/>
          <w:lang w:val="en-US" w:eastAsia="zh-CN"/>
        </w:rPr>
        <w:t>Editor</w:t>
      </w:r>
      <w:r>
        <w:rPr>
          <w:rFonts w:eastAsia="Times New Roman" w:cs="Arial"/>
          <w:i/>
          <w:color w:val="FF0000"/>
          <w:kern w:val="2"/>
          <w:sz w:val="20"/>
          <w:lang w:val="en-US" w:eastAsia="zh-CN"/>
        </w:rPr>
        <w:t>’</w:t>
      </w:r>
      <w:r>
        <w:rPr>
          <w:rFonts w:hint="eastAsia" w:eastAsia="Times New Roman" w:cs="Arial"/>
          <w:i/>
          <w:color w:val="FF0000"/>
          <w:kern w:val="2"/>
          <w:sz w:val="20"/>
          <w:lang w:val="en-US" w:eastAsia="zh-CN"/>
        </w:rPr>
        <w:t>s n</w:t>
      </w:r>
      <w:r>
        <w:rPr>
          <w:rFonts w:hint="eastAsia" w:eastAsia="Times New Roman"/>
          <w:i/>
          <w:iCs/>
          <w:color w:val="FF0000"/>
          <w:sz w:val="20"/>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rPr>
          <w:sz w:val="20"/>
        </w:rPr>
      </w:pPr>
      <w:r>
        <w:rPr>
          <w:sz w:val="20"/>
        </w:rPr>
        <w:t xml:space="preserve">Table </w:t>
      </w:r>
      <w:r>
        <w:rPr>
          <w:rFonts w:hint="eastAsia" w:eastAsia="宋体"/>
          <w:sz w:val="20"/>
          <w:lang w:val="en-US" w:eastAsia="zh-CN"/>
        </w:rPr>
        <w:t>5.x</w:t>
      </w:r>
      <w:r>
        <w:rPr>
          <w:rFonts w:eastAsia="宋体"/>
          <w:sz w:val="20"/>
          <w:lang w:val="en-US" w:eastAsia="zh-CN"/>
        </w:rPr>
        <w:t>.2.2</w:t>
      </w:r>
      <w:r>
        <w:rPr>
          <w:sz w:val="20"/>
        </w:rPr>
        <w:t>-1 lists B</w:t>
      </w:r>
      <w:r>
        <w:rPr>
          <w:sz w:val="20"/>
          <w:lang w:eastAsia="ja-JP"/>
        </w:rPr>
        <w:t xml:space="preserve">and </w:t>
      </w:r>
      <w:r>
        <w:rPr>
          <w:rFonts w:eastAsia="宋体"/>
          <w:sz w:val="20"/>
          <w:lang w:val="en-US" w:eastAsia="zh-CN"/>
        </w:rPr>
        <w:t>n</w:t>
      </w:r>
      <w:r>
        <w:rPr>
          <w:sz w:val="20"/>
          <w:lang w:eastAsia="ja-JP"/>
        </w:rPr>
        <w:t xml:space="preserve">X </w:t>
      </w:r>
      <w:r>
        <w:rPr>
          <w:sz w:val="20"/>
        </w:rPr>
        <w:t>+ B</w:t>
      </w:r>
      <w:r>
        <w:rPr>
          <w:sz w:val="20"/>
          <w:lang w:eastAsia="ja-JP"/>
        </w:rPr>
        <w:t xml:space="preserve">and </w:t>
      </w:r>
      <w:r>
        <w:rPr>
          <w:rFonts w:eastAsia="宋体"/>
          <w:sz w:val="20"/>
          <w:lang w:val="en-US" w:eastAsia="zh-CN"/>
        </w:rPr>
        <w:t>n</w:t>
      </w:r>
      <w:r>
        <w:rPr>
          <w:sz w:val="20"/>
          <w:lang w:eastAsia="ja-JP"/>
        </w:rPr>
        <w:t>Y</w:t>
      </w:r>
      <w:r>
        <w:rPr>
          <w:sz w:val="20"/>
        </w:rPr>
        <w:t xml:space="preserve"> 2</w:t>
      </w:r>
      <w:r>
        <w:rPr>
          <w:rFonts w:hint="eastAsia" w:eastAsia="宋体"/>
          <w:sz w:val="20"/>
          <w:lang w:val="en-US" w:eastAsia="zh-CN"/>
        </w:rPr>
        <w:t xml:space="preserve"> bands </w:t>
      </w:r>
      <w:r>
        <w:rPr>
          <w:sz w:val="20"/>
        </w:rPr>
        <w:t xml:space="preserve">UL </w:t>
      </w:r>
      <w:r>
        <w:rPr>
          <w:sz w:val="20"/>
          <w:lang w:val="en-US" w:eastAsia="zh-CN"/>
        </w:rPr>
        <w:t>CA</w:t>
      </w:r>
      <w:r>
        <w:rPr>
          <w:rFonts w:hint="eastAsia"/>
          <w:sz w:val="20"/>
          <w:lang w:val="en-US" w:eastAsia="zh-CN"/>
        </w:rPr>
        <w:t>(2CC)</w:t>
      </w:r>
      <w:r>
        <w:rPr>
          <w:sz w:val="20"/>
        </w:rPr>
        <w:t xml:space="preserve"> </w:t>
      </w:r>
      <w:r>
        <w:rPr>
          <w:sz w:val="20"/>
          <w:lang w:eastAsia="ja-JP"/>
        </w:rPr>
        <w:t>2</w:t>
      </w:r>
      <w:r>
        <w:rPr>
          <w:sz w:val="20"/>
          <w:vertAlign w:val="superscript"/>
          <w:lang w:eastAsia="ja-JP"/>
        </w:rPr>
        <w:t>nd</w:t>
      </w:r>
      <w:r>
        <w:rPr>
          <w:sz w:val="20"/>
          <w:lang w:eastAsia="ja-JP"/>
        </w:rPr>
        <w:t xml:space="preserve">, </w:t>
      </w:r>
      <w:r>
        <w:rPr>
          <w:sz w:val="20"/>
        </w:rPr>
        <w:t>3</w:t>
      </w:r>
      <w:r>
        <w:rPr>
          <w:sz w:val="20"/>
          <w:vertAlign w:val="superscript"/>
        </w:rPr>
        <w:t>rd</w:t>
      </w:r>
      <w:r>
        <w:rPr>
          <w:sz w:val="20"/>
          <w:lang w:eastAsia="ja-JP"/>
        </w:rPr>
        <w:t>, 4</w:t>
      </w:r>
      <w:r>
        <w:rPr>
          <w:sz w:val="20"/>
          <w:vertAlign w:val="superscript"/>
          <w:lang w:eastAsia="ja-JP"/>
        </w:rPr>
        <w:t>th</w:t>
      </w:r>
      <w:r>
        <w:rPr>
          <w:sz w:val="20"/>
          <w:lang w:eastAsia="ja-JP"/>
        </w:rPr>
        <w:t xml:space="preserve"> and 5</w:t>
      </w:r>
      <w:r>
        <w:rPr>
          <w:sz w:val="20"/>
          <w:vertAlign w:val="superscript"/>
          <w:lang w:eastAsia="ja-JP"/>
        </w:rPr>
        <w:t>th</w:t>
      </w:r>
      <w:r>
        <w:rPr>
          <w:sz w:val="20"/>
          <w:lang w:eastAsia="ja-JP"/>
        </w:rPr>
        <w:t xml:space="preserve"> </w:t>
      </w:r>
      <w:r>
        <w:rPr>
          <w:sz w:val="20"/>
        </w:rPr>
        <w:t>order IMD for the UE-to-UE coexistence analysis.</w:t>
      </w:r>
    </w:p>
    <w:bookmarkEnd w:id="168"/>
    <w:p>
      <w:pPr>
        <w:keepNext/>
        <w:keepLines/>
        <w:spacing w:before="120" w:after="120"/>
        <w:jc w:val="center"/>
        <w:rPr>
          <w:rFonts w:ascii="Arial" w:hAnsi="Arial" w:cs="Arial"/>
          <w:b/>
          <w:lang w:val="en-US"/>
        </w:rPr>
      </w:pPr>
      <w:bookmarkStart w:id="170" w:name="OLE_LINK67"/>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bookmarkStart w:id="171" w:name="OLE_LINK63"/>
      <w:r>
        <w:rPr>
          <w:rFonts w:ascii="Arial" w:hAnsi="Arial" w:cs="Arial"/>
          <w:b/>
          <w:lang w:val="en-US"/>
        </w:rPr>
        <w:t xml:space="preserve">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bookmarkEnd w:id="171"/>
    </w:p>
    <w:bookmarkEnd w:id="169"/>
    <w:bookmarkEnd w:id="170"/>
    <w:tbl>
      <w:tblPr>
        <w:tblStyle w:val="76"/>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80"/>
              <w:overflowPunct w:val="0"/>
              <w:autoSpaceDE w:val="0"/>
              <w:autoSpaceDN w:val="0"/>
              <w:adjustRightInd w:val="0"/>
              <w:textAlignment w:val="baseline"/>
              <w:rPr>
                <w:b w:val="0"/>
                <w:color w:val="auto"/>
                <w:lang w:val="en-US"/>
              </w:rPr>
            </w:pPr>
            <w:r>
              <w:rPr>
                <w:rFonts w:eastAsia="Times New Roman"/>
                <w:color w:val="auto"/>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80"/>
              <w:overflowPunct w:val="0"/>
              <w:autoSpaceDE w:val="0"/>
              <w:autoSpaceDN w:val="0"/>
              <w:adjustRightInd w:val="0"/>
              <w:textAlignment w:val="baseline"/>
              <w:rPr>
                <w:rFonts w:eastAsia="Times New Roman"/>
                <w:color w:val="auto"/>
                <w:lang w:eastAsia="en-GB"/>
              </w:rPr>
            </w:pPr>
            <w:r>
              <w:rPr>
                <w:rFonts w:eastAsia="Times New Roman"/>
                <w:color w:val="auto"/>
                <w:lang w:eastAsia="en-GB"/>
              </w:rPr>
              <w:t>f</w:t>
            </w:r>
            <w:r>
              <w:rPr>
                <w:rFonts w:eastAsia="Times New Roman"/>
                <w:color w:val="auto"/>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80"/>
              <w:overflowPunct w:val="0"/>
              <w:autoSpaceDE w:val="0"/>
              <w:autoSpaceDN w:val="0"/>
              <w:adjustRightInd w:val="0"/>
              <w:textAlignment w:val="baseline"/>
              <w:rPr>
                <w:rFonts w:eastAsia="Times New Roman"/>
                <w:color w:val="auto"/>
                <w:lang w:eastAsia="en-GB"/>
              </w:rPr>
            </w:pPr>
            <w:r>
              <w:rPr>
                <w:rFonts w:eastAsia="Times New Roman"/>
                <w:color w:val="auto"/>
                <w:lang w:eastAsia="en-GB"/>
              </w:rPr>
              <w:t>f</w:t>
            </w:r>
            <w:r>
              <w:rPr>
                <w:rFonts w:eastAsia="Times New Roman"/>
                <w:color w:val="auto"/>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80"/>
              <w:overflowPunct w:val="0"/>
              <w:autoSpaceDE w:val="0"/>
              <w:autoSpaceDN w:val="0"/>
              <w:adjustRightInd w:val="0"/>
              <w:textAlignment w:val="baseline"/>
              <w:rPr>
                <w:rFonts w:eastAsia="Times New Roman"/>
                <w:color w:val="auto"/>
                <w:lang w:eastAsia="en-GB"/>
              </w:rPr>
            </w:pPr>
            <w:r>
              <w:rPr>
                <w:rFonts w:eastAsia="Times New Roman"/>
                <w:color w:val="auto"/>
                <w:lang w:eastAsia="en-GB"/>
              </w:rPr>
              <w:t>f</w:t>
            </w:r>
            <w:r>
              <w:rPr>
                <w:rFonts w:eastAsia="Times New Roman"/>
                <w:color w:val="auto"/>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80"/>
              <w:overflowPunct w:val="0"/>
              <w:autoSpaceDE w:val="0"/>
              <w:autoSpaceDN w:val="0"/>
              <w:adjustRightInd w:val="0"/>
              <w:textAlignment w:val="baseline"/>
              <w:rPr>
                <w:rFonts w:eastAsia="Times New Roman"/>
                <w:color w:val="auto"/>
                <w:lang w:eastAsia="en-GB"/>
              </w:rPr>
            </w:pPr>
            <w:r>
              <w:rPr>
                <w:rFonts w:eastAsia="Times New Roman"/>
                <w:color w:val="auto"/>
                <w:lang w:eastAsia="en-GB"/>
              </w:rPr>
              <w:t>f</w:t>
            </w:r>
            <w:r>
              <w:rPr>
                <w:rFonts w:eastAsia="Times New Roman"/>
                <w:color w:val="auto"/>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eastAsia="Times New Roman"/>
                <w:color w:val="auto"/>
                <w:lang w:eastAsia="en-GB"/>
              </w:rPr>
            </w:pPr>
            <w:r>
              <w:rPr>
                <w:rFonts w:eastAsia="Times New Roman"/>
                <w:color w:val="auto"/>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45"/>
              <w:overflowPunct w:val="0"/>
              <w:autoSpaceDE w:val="0"/>
              <w:autoSpaceDN w:val="0"/>
              <w:adjustRightInd w:val="0"/>
              <w:jc w:val="center"/>
              <w:textAlignment w:val="baseline"/>
              <w:rPr>
                <w:color w:val="auto"/>
                <w:lang w:val="en-US"/>
              </w:rPr>
            </w:pPr>
            <w:r>
              <w:rPr>
                <w:color w:val="auto"/>
                <w:lang w:val="en-US"/>
              </w:rPr>
              <w:t>|</w:t>
            </w:r>
            <w:r>
              <w:rPr>
                <w:color w:val="auto"/>
                <w:lang w:eastAsia="zh-CN"/>
              </w:rPr>
              <w:t>f</w:t>
            </w:r>
            <w:r>
              <w:rPr>
                <w:color w:val="auto"/>
                <w:vertAlign w:val="subscript"/>
                <w:lang w:eastAsia="zh-CN"/>
              </w:rPr>
              <w:t>y</w:t>
            </w:r>
            <w:r>
              <w:rPr>
                <w:color w:val="auto"/>
                <w:vertAlign w:val="subscript"/>
                <w:lang w:val="en-US"/>
              </w:rPr>
              <w:t>_low</w:t>
            </w:r>
            <w:r>
              <w:rPr>
                <w:color w:val="auto"/>
                <w:lang w:val="en-US"/>
              </w:rPr>
              <w:t xml:space="preserve"> – f</w:t>
            </w:r>
            <w:r>
              <w:rPr>
                <w:color w:val="auto"/>
                <w:vertAlign w:val="subscript"/>
                <w:lang w:val="en-US"/>
              </w:rPr>
              <w:t>x_high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f</w:t>
            </w:r>
            <w:r>
              <w:rPr>
                <w:color w:val="auto"/>
                <w:vertAlign w:val="subscript"/>
                <w:lang w:val="en-US"/>
              </w:rPr>
              <w:t>x_low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45"/>
              <w:overflowPunct w:val="0"/>
              <w:autoSpaceDE w:val="0"/>
              <w:autoSpaceDN w:val="0"/>
              <w:adjustRightInd w:val="0"/>
              <w:jc w:val="center"/>
              <w:textAlignment w:val="baseline"/>
              <w:rPr>
                <w:color w:val="auto"/>
                <w:lang w:val="en-US"/>
              </w:rPr>
            </w:pPr>
            <w:r>
              <w:rPr>
                <w:color w:val="auto"/>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eastAsia="zh-CN"/>
              </w:rPr>
              <w:t>Two-tone</w:t>
            </w:r>
            <w:r>
              <w:rPr>
                <w:color w:val="auto"/>
                <w:lang w:val="en-US"/>
              </w:rPr>
              <w:t xml:space="preserve"> 3</w:t>
            </w:r>
            <w:r>
              <w:rPr>
                <w:color w:val="auto"/>
                <w:vertAlign w:val="superscript"/>
                <w:lang w:val="en-US"/>
              </w:rPr>
              <w:t>rd</w:t>
            </w:r>
            <w:r>
              <w:rPr>
                <w:color w:val="auto"/>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eastAsia="zh-CN"/>
              </w:rPr>
              <w:t>Two-tone</w:t>
            </w:r>
            <w:r>
              <w:rPr>
                <w:color w:val="auto"/>
                <w:lang w:val="en-US"/>
              </w:rPr>
              <w:t xml:space="preserve"> 3</w:t>
            </w:r>
            <w:r>
              <w:rPr>
                <w:color w:val="auto"/>
                <w:vertAlign w:val="superscript"/>
                <w:lang w:val="en-US"/>
              </w:rPr>
              <w:t>rd</w:t>
            </w:r>
            <w:r>
              <w:rPr>
                <w:color w:val="auto"/>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4</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x_low</w:t>
            </w:r>
            <w:r>
              <w:rPr>
                <w:color w:val="auto"/>
                <w:lang w:val="en-US"/>
              </w:rPr>
              <w:t xml:space="preserve"> –1*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x_high</w:t>
            </w:r>
            <w:r>
              <w:rPr>
                <w:color w:val="auto"/>
                <w:lang w:val="en-US"/>
              </w:rPr>
              <w:t xml:space="preserve"> – 1*f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y_low</w:t>
            </w:r>
            <w:r>
              <w:rPr>
                <w:color w:val="auto"/>
                <w:lang w:val="en-US"/>
              </w:rPr>
              <w:t xml:space="preserve"> – 1*f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y_high</w:t>
            </w:r>
            <w:r>
              <w:rPr>
                <w:color w:val="auto"/>
                <w:lang w:val="en-US"/>
              </w:rPr>
              <w:t xml:space="preserve"> – 1*f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eastAsia="zh-CN"/>
              </w:rPr>
              <w:t>IMD</w:t>
            </w:r>
            <w:r>
              <w:rPr>
                <w:color w:val="auto"/>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4</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–2*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–2* 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x_low</w:t>
            </w:r>
            <w:r>
              <w:rPr>
                <w:color w:val="auto"/>
                <w:lang w:val="en-US"/>
              </w:rPr>
              <w:t xml:space="preserve"> +1*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x_high</w:t>
            </w:r>
            <w:r>
              <w:rPr>
                <w:color w:val="auto"/>
                <w:lang w:val="en-US"/>
              </w:rPr>
              <w:t xml:space="preserve"> + 1*f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y_low</w:t>
            </w:r>
            <w:r>
              <w:rPr>
                <w:color w:val="auto"/>
                <w:lang w:val="en-US"/>
              </w:rPr>
              <w:t xml:space="preserve"> + 1*f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y_high</w:t>
            </w:r>
            <w:r>
              <w:rPr>
                <w:color w:val="auto"/>
                <w:lang w:val="en-US"/>
              </w:rPr>
              <w:t xml:space="preserve"> + 1*f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val="en-US"/>
              </w:rPr>
              <w:t>Two</w:t>
            </w:r>
            <w:r>
              <w:rPr>
                <w:color w:val="auto"/>
                <w:lang w:eastAsia="zh-CN"/>
              </w:rPr>
              <w:t>-tone</w:t>
            </w:r>
            <w:r>
              <w:rPr>
                <w:color w:val="auto"/>
                <w:lang w:val="en-US"/>
              </w:rPr>
              <w:t xml:space="preserve"> </w:t>
            </w:r>
            <w:r>
              <w:rPr>
                <w:color w:val="auto"/>
                <w:lang w:val="en-US" w:eastAsia="ja-JP"/>
              </w:rPr>
              <w:t>4</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+2*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+2* 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x_low</w:t>
            </w:r>
            <w:r>
              <w:rPr>
                <w:color w:val="auto"/>
                <w:lang w:val="en-US"/>
              </w:rPr>
              <w:t xml:space="preserve"> – 4*f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x_high</w:t>
            </w:r>
            <w:r>
              <w:rPr>
                <w:color w:val="auto"/>
                <w:lang w:val="en-US"/>
              </w:rPr>
              <w:t xml:space="preserve"> – 4*f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4*f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4*f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val="en-US"/>
              </w:rPr>
              <w:t xml:space="preserve">IMD </w:t>
            </w:r>
            <w:r>
              <w:rPr>
                <w:color w:val="auto"/>
                <w:lang w:eastAsia="zh-CN"/>
              </w:rPr>
              <w:t>frequency</w:t>
            </w:r>
            <w:r>
              <w:rPr>
                <w:color w:val="auto"/>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- 3*f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- 3*f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- 3*f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-3*f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x_low</w:t>
            </w:r>
            <w:r>
              <w:rPr>
                <w:color w:val="auto"/>
                <w:lang w:val="en-US"/>
              </w:rPr>
              <w:t xml:space="preserve"> + 4*f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x_high</w:t>
            </w:r>
            <w:r>
              <w:rPr>
                <w:color w:val="auto"/>
                <w:lang w:val="en-US"/>
              </w:rPr>
              <w:t xml:space="preserve"> + 4*f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+ 4*f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+ 4*f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eastAsia="zh-CN"/>
              </w:rPr>
              <w:t>IMD</w:t>
            </w:r>
            <w:r>
              <w:rPr>
                <w:color w:val="auto"/>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+ 3*f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+ 3*f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+ 3*f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+ 3*f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val="en-US"/>
              </w:rPr>
              <w:t xml:space="preserve">IMD </w:t>
            </w:r>
            <w:r>
              <w:rPr>
                <w:color w:val="auto"/>
                <w:lang w:eastAsia="zh-CN"/>
              </w:rPr>
              <w:t>frequency</w:t>
            </w:r>
            <w:r>
              <w:rPr>
                <w:color w:val="auto"/>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rPr>
              <w:t>NOTE :</w:t>
            </w:r>
            <w:r>
              <w:rPr>
                <w:color w:val="auto"/>
              </w:rPr>
              <w:tab/>
            </w:r>
            <w:r>
              <w:rPr>
                <w:color w:val="auto"/>
              </w:rPr>
              <w:t>For each IMD item,</w:t>
            </w:r>
            <w:r>
              <w:rPr>
                <w:color w:val="auto"/>
                <w:lang w:val="en-US" w:eastAsia="zh-CN"/>
              </w:rPr>
              <w:t xml:space="preserve"> </w:t>
            </w:r>
            <w:r>
              <w:rPr>
                <w:color w:val="auto"/>
              </w:rPr>
              <w:t xml:space="preserve">when two bound values before taking absolute have different signs, the relevant IMD </w:t>
            </w:r>
            <w:r>
              <w:rPr>
                <w:color w:val="auto"/>
                <w:lang w:eastAsia="zh-CN"/>
              </w:rPr>
              <w:t>range</w:t>
            </w:r>
            <w:r>
              <w:rPr>
                <w:color w:val="auto"/>
              </w:rPr>
              <w:t xml:space="preserve"> shall be set such that  (1) the lower bound is 0 and (2) the upper bound is the bigger </w:t>
            </w:r>
            <w:r>
              <w:rPr>
                <w:color w:val="auto"/>
                <w:lang w:val="en-US"/>
              </w:rPr>
              <w:t>value</w:t>
            </w:r>
            <w:r>
              <w:rPr>
                <w:color w:val="auto"/>
              </w:rPr>
              <w:t xml:space="preserve"> of the two after taking absolute. The lowest even order and lowest odd order IMD MSDs shall be considered.</w:t>
            </w:r>
          </w:p>
        </w:tc>
      </w:tr>
    </w:tbl>
    <w:p>
      <w:pPr>
        <w:rPr>
          <w:lang w:eastAsia="ko-KR"/>
        </w:rPr>
      </w:pPr>
    </w:p>
    <w:p>
      <w:pPr>
        <w:rPr>
          <w:sz w:val="20"/>
          <w:lang w:eastAsia="ko-KR"/>
        </w:rPr>
      </w:pPr>
      <w:r>
        <w:rPr>
          <w:sz w:val="20"/>
          <w:lang w:eastAsia="ko-KR"/>
        </w:rPr>
        <w:t xml:space="preserve">Based on Table </w:t>
      </w:r>
      <w:r>
        <w:rPr>
          <w:rFonts w:hint="eastAsia" w:eastAsia="宋体"/>
          <w:sz w:val="20"/>
          <w:lang w:val="en-US" w:eastAsia="zh-CN"/>
        </w:rPr>
        <w:t>5.x</w:t>
      </w:r>
      <w:r>
        <w:rPr>
          <w:rFonts w:eastAsia="宋体"/>
          <w:sz w:val="20"/>
          <w:lang w:val="en-US" w:eastAsia="zh-CN"/>
        </w:rPr>
        <w:t>.2</w:t>
      </w:r>
      <w:r>
        <w:rPr>
          <w:sz w:val="20"/>
          <w:lang w:eastAsia="ko-KR"/>
        </w:rPr>
        <w:t>.</w:t>
      </w:r>
      <w:r>
        <w:rPr>
          <w:rFonts w:eastAsia="宋体"/>
          <w:sz w:val="20"/>
          <w:lang w:val="en-US" w:eastAsia="zh-CN"/>
        </w:rPr>
        <w:t>2</w:t>
      </w:r>
      <w:r>
        <w:rPr>
          <w:sz w:val="20"/>
          <w:lang w:eastAsia="ko-KR"/>
        </w:rPr>
        <w:t>-1</w:t>
      </w:r>
      <w:r>
        <w:rPr>
          <w:rFonts w:eastAsia="宋体"/>
          <w:sz w:val="20"/>
          <w:lang w:val="en-US" w:eastAsia="zh-CN"/>
        </w:rPr>
        <w:t>, n</w:t>
      </w:r>
      <w:r>
        <w:rPr>
          <w:sz w:val="20"/>
          <w:vertAlign w:val="superscript"/>
          <w:lang w:eastAsia="ja-JP"/>
        </w:rPr>
        <w:t>th</w:t>
      </w:r>
      <w:r>
        <w:rPr>
          <w:sz w:val="20"/>
          <w:lang w:eastAsia="ja-JP"/>
        </w:rPr>
        <w:t xml:space="preserve"> </w:t>
      </w:r>
      <w:r>
        <w:rPr>
          <w:sz w:val="20"/>
          <w:lang w:eastAsia="ko-KR"/>
        </w:rPr>
        <w:t>order IMD may also fall into Rx frequencies of bands</w:t>
      </w:r>
      <w:r>
        <w:rPr>
          <w:sz w:val="20"/>
          <w:lang w:eastAsia="ja-JP"/>
        </w:rPr>
        <w:t xml:space="preserve"> </w:t>
      </w:r>
      <w:r>
        <w:rPr>
          <w:rFonts w:eastAsia="宋体"/>
          <w:sz w:val="20"/>
          <w:lang w:val="en-US" w:eastAsia="zh-CN"/>
        </w:rPr>
        <w:t>nX or band nY</w:t>
      </w:r>
      <w:r>
        <w:rPr>
          <w:sz w:val="20"/>
          <w:lang w:eastAsia="ko-KR"/>
        </w:rPr>
        <w:t>.</w:t>
      </w:r>
    </w:p>
    <w:p>
      <w:pPr>
        <w:rPr>
          <w:sz w:val="20"/>
        </w:rPr>
      </w:pPr>
      <w:r>
        <w:rPr>
          <w:sz w:val="20"/>
        </w:rPr>
        <w:t xml:space="preserve">Table </w:t>
      </w:r>
      <w:r>
        <w:rPr>
          <w:rFonts w:hint="eastAsia" w:eastAsia="宋体"/>
          <w:sz w:val="20"/>
          <w:lang w:val="en-US" w:eastAsia="zh-CN"/>
        </w:rPr>
        <w:t>5.x</w:t>
      </w:r>
      <w:r>
        <w:rPr>
          <w:rFonts w:eastAsia="宋体"/>
          <w:sz w:val="20"/>
          <w:lang w:val="en-US" w:eastAsia="zh-CN"/>
        </w:rPr>
        <w:t>.2.2</w:t>
      </w:r>
      <w:r>
        <w:rPr>
          <w:sz w:val="20"/>
        </w:rPr>
        <w:t>-</w:t>
      </w:r>
      <w:r>
        <w:rPr>
          <w:rFonts w:hint="eastAsia" w:eastAsia="宋体"/>
          <w:sz w:val="20"/>
          <w:lang w:val="en-US" w:eastAsia="zh-CN"/>
        </w:rPr>
        <w:t>2</w:t>
      </w:r>
      <w:r>
        <w:rPr>
          <w:sz w:val="20"/>
        </w:rPr>
        <w:t xml:space="preserve"> lists B</w:t>
      </w:r>
      <w:r>
        <w:rPr>
          <w:sz w:val="20"/>
          <w:lang w:eastAsia="ja-JP"/>
        </w:rPr>
        <w:t xml:space="preserve">and </w:t>
      </w:r>
      <w:r>
        <w:rPr>
          <w:rFonts w:eastAsia="宋体"/>
          <w:sz w:val="20"/>
          <w:lang w:val="en-US" w:eastAsia="zh-CN"/>
        </w:rPr>
        <w:t>n</w:t>
      </w:r>
      <w:r>
        <w:rPr>
          <w:sz w:val="20"/>
          <w:lang w:eastAsia="ja-JP"/>
        </w:rPr>
        <w:t xml:space="preserve">X </w:t>
      </w:r>
      <w:r>
        <w:rPr>
          <w:sz w:val="20"/>
        </w:rPr>
        <w:t>+ B</w:t>
      </w:r>
      <w:r>
        <w:rPr>
          <w:sz w:val="20"/>
          <w:lang w:eastAsia="ja-JP"/>
        </w:rPr>
        <w:t xml:space="preserve">and </w:t>
      </w:r>
      <w:r>
        <w:rPr>
          <w:rFonts w:eastAsia="宋体"/>
          <w:sz w:val="20"/>
          <w:lang w:val="en-US" w:eastAsia="zh-CN"/>
        </w:rPr>
        <w:t>n</w:t>
      </w:r>
      <w:r>
        <w:rPr>
          <w:sz w:val="20"/>
          <w:lang w:eastAsia="ja-JP"/>
        </w:rPr>
        <w:t>Y</w:t>
      </w:r>
      <w:r>
        <w:rPr>
          <w:sz w:val="20"/>
        </w:rPr>
        <w:t xml:space="preserve"> 2</w:t>
      </w:r>
      <w:r>
        <w:rPr>
          <w:rFonts w:hint="eastAsia" w:eastAsia="宋体"/>
          <w:sz w:val="20"/>
          <w:lang w:val="en-US" w:eastAsia="zh-CN"/>
        </w:rPr>
        <w:t xml:space="preserve"> bands </w:t>
      </w:r>
      <w:r>
        <w:rPr>
          <w:sz w:val="20"/>
        </w:rPr>
        <w:t xml:space="preserve">UL </w:t>
      </w:r>
      <w:r>
        <w:rPr>
          <w:sz w:val="20"/>
          <w:lang w:val="en-US" w:eastAsia="zh-CN"/>
        </w:rPr>
        <w:t>CA</w:t>
      </w:r>
      <w:r>
        <w:rPr>
          <w:rFonts w:hint="eastAsia"/>
          <w:sz w:val="20"/>
          <w:lang w:val="en-US" w:eastAsia="zh-CN"/>
        </w:rPr>
        <w:t>(3CC)</w:t>
      </w:r>
      <w:r>
        <w:rPr>
          <w:sz w:val="20"/>
        </w:rPr>
        <w:t xml:space="preserve"> </w:t>
      </w:r>
      <w:r>
        <w:rPr>
          <w:rFonts w:hint="eastAsia" w:eastAsia="宋体"/>
          <w:sz w:val="20"/>
          <w:lang w:val="en-US" w:eastAsia="zh-CN"/>
        </w:rPr>
        <w:t xml:space="preserve">triple beat IMD analysis for </w:t>
      </w:r>
      <w:r>
        <w:rPr>
          <w:sz w:val="20"/>
        </w:rPr>
        <w:t>B</w:t>
      </w:r>
      <w:r>
        <w:rPr>
          <w:sz w:val="20"/>
          <w:lang w:eastAsia="ja-JP"/>
        </w:rPr>
        <w:t xml:space="preserve">and </w:t>
      </w:r>
      <w:r>
        <w:rPr>
          <w:rFonts w:eastAsia="宋体"/>
          <w:sz w:val="20"/>
          <w:lang w:val="en-US" w:eastAsia="zh-CN"/>
        </w:rPr>
        <w:t>n</w:t>
      </w:r>
      <w:r>
        <w:rPr>
          <w:sz w:val="20"/>
          <w:lang w:eastAsia="ja-JP"/>
        </w:rPr>
        <w:t>X</w:t>
      </w:r>
      <w:r>
        <w:rPr>
          <w:rFonts w:hint="eastAsia" w:eastAsia="宋体"/>
          <w:sz w:val="20"/>
          <w:lang w:val="en-US" w:eastAsia="zh-CN"/>
        </w:rPr>
        <w:t>-</w:t>
      </w:r>
      <w:r>
        <w:rPr>
          <w:sz w:val="20"/>
        </w:rPr>
        <w:t xml:space="preserve"> B</w:t>
      </w:r>
      <w:r>
        <w:rPr>
          <w:sz w:val="20"/>
          <w:lang w:eastAsia="ja-JP"/>
        </w:rPr>
        <w:t xml:space="preserve">and </w:t>
      </w:r>
      <w:r>
        <w:rPr>
          <w:rFonts w:eastAsia="宋体"/>
          <w:sz w:val="20"/>
          <w:lang w:val="en-US" w:eastAsia="zh-CN"/>
        </w:rPr>
        <w:t>n</w:t>
      </w:r>
      <w:r>
        <w:rPr>
          <w:sz w:val="20"/>
          <w:lang w:eastAsia="ja-JP"/>
        </w:rPr>
        <w:t>Y</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76"/>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rPr>
            </w:pPr>
            <w:r>
              <w:rPr>
                <w:rFonts w:ascii="Arial" w:hAnsi="Arial" w:cs="Arial"/>
                <w:b/>
                <w:bCs/>
                <w:sz w:val="18"/>
                <w:szCs w:val="18"/>
              </w:rPr>
              <w:t>CA_nY</w:t>
            </w:r>
            <w:r>
              <w:rPr>
                <w:rFonts w:hint="eastAsia" w:ascii="Arial" w:hAnsi="Arial" w:eastAsia="宋体" w:cs="Arial"/>
                <w:b/>
                <w:bCs/>
                <w:sz w:val="18"/>
                <w:szCs w:val="18"/>
                <w:lang w:val="en-US" w:eastAsia="zh-CN"/>
              </w:rPr>
              <w:t>B/</w:t>
            </w:r>
            <w:r>
              <w:rPr>
                <w:rFonts w:ascii="Arial" w:hAnsi="Arial"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44"/>
              <w:rPr>
                <w:color w:val="auto"/>
              </w:rPr>
            </w:pPr>
            <w:r>
              <w:rPr>
                <w:color w:val="auto"/>
              </w:rPr>
              <w:t xml:space="preserve">Note 1: If the two bands are not part of the same or adjacent band groups as defined in </w:t>
            </w:r>
            <w:r>
              <w:rPr>
                <w:rFonts w:hint="eastAsia"/>
                <w:color w:val="auto"/>
                <w:szCs w:val="18"/>
                <w:lang w:val="en-US" w:eastAsia="zh-CN"/>
              </w:rPr>
              <w:t>table A.1</w:t>
            </w:r>
            <w:r>
              <w:rPr>
                <w:color w:val="auto"/>
              </w:rPr>
              <w:t>, the analysis can be ignored.</w:t>
            </w:r>
          </w:p>
          <w:p>
            <w:pPr>
              <w:pStyle w:val="144"/>
            </w:pPr>
            <w:r>
              <w:rPr>
                <w:color w:val="auto"/>
              </w:rPr>
              <w:t>Note 2: For contiguous intra-band ULCA, the minimum and maximum separation BW are 0MHz and Min(fy_high-fy_low, maximum aggregated BW) respectively.</w:t>
            </w:r>
          </w:p>
        </w:tc>
      </w:tr>
    </w:tbl>
    <w:p>
      <w:pPr>
        <w:rPr>
          <w:sz w:val="20"/>
        </w:rPr>
      </w:pPr>
    </w:p>
    <w:p>
      <w:pPr>
        <w:rPr>
          <w:rFonts w:eastAsia="宋体"/>
          <w:sz w:val="20"/>
          <w:lang w:val="en-US" w:eastAsia="zh-CN"/>
        </w:rPr>
      </w:pPr>
      <w:r>
        <w:rPr>
          <w:sz w:val="20"/>
        </w:rPr>
        <w:t xml:space="preserve">Table </w:t>
      </w:r>
      <w:r>
        <w:rPr>
          <w:rFonts w:hint="eastAsia" w:eastAsia="宋体"/>
          <w:sz w:val="20"/>
          <w:lang w:val="en-US" w:eastAsia="zh-CN"/>
        </w:rPr>
        <w:t>5.x</w:t>
      </w:r>
      <w:r>
        <w:rPr>
          <w:rFonts w:eastAsia="宋体"/>
          <w:sz w:val="20"/>
          <w:lang w:val="en-US" w:eastAsia="zh-CN"/>
        </w:rPr>
        <w:t>.2</w:t>
      </w:r>
      <w:r>
        <w:rPr>
          <w:sz w:val="20"/>
        </w:rPr>
        <w:t>.</w:t>
      </w:r>
      <w:r>
        <w:rPr>
          <w:rFonts w:eastAsia="宋体"/>
          <w:sz w:val="20"/>
          <w:lang w:val="en-US" w:eastAsia="zh-CN"/>
        </w:rPr>
        <w:t>2</w:t>
      </w:r>
      <w:r>
        <w:rPr>
          <w:sz w:val="20"/>
        </w:rPr>
        <w:t>-</w:t>
      </w:r>
      <w:r>
        <w:rPr>
          <w:rFonts w:hint="eastAsia" w:eastAsia="宋体"/>
          <w:sz w:val="20"/>
          <w:lang w:val="en-US" w:eastAsia="zh-CN"/>
        </w:rPr>
        <w:t>3</w:t>
      </w:r>
      <w:r>
        <w:rPr>
          <w:sz w:val="20"/>
        </w:rPr>
        <w:t xml:space="preserve"> lists</w:t>
      </w:r>
      <w:r>
        <w:rPr>
          <w:sz w:val="20"/>
          <w:lang w:eastAsia="ja-JP"/>
        </w:rPr>
        <w:t xml:space="preserve"> the protected bands required for the </w:t>
      </w:r>
      <w:r>
        <w:rPr>
          <w:sz w:val="20"/>
          <w:lang w:val="en-US" w:eastAsia="zh-CN"/>
        </w:rPr>
        <w:t>2UL bands CA</w:t>
      </w:r>
      <w:r>
        <w:rPr>
          <w:sz w:val="20"/>
          <w:lang w:eastAsia="ja-JP"/>
        </w:rPr>
        <w:t xml:space="preserve"> configuration</w:t>
      </w:r>
      <w:r>
        <w:rPr>
          <w:rFonts w:hint="eastAsia" w:eastAsia="宋体"/>
          <w:sz w:val="20"/>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76"/>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eastAsia="Times New Roman" w:cs="Arial"/>
                <w:b/>
                <w:sz w:val="18"/>
              </w:rPr>
              <w:t xml:space="preserve"> </w:t>
            </w:r>
            <w:r>
              <w:rPr>
                <w:rFonts w:ascii="Arial" w:hAnsi="Arial" w:cs="Arial"/>
                <w:b/>
                <w:sz w:val="18"/>
                <w:lang w:val="en-US" w:eastAsia="zh-CN"/>
              </w:rPr>
              <w:t>CA</w:t>
            </w:r>
            <w:r>
              <w:rPr>
                <w:rFonts w:ascii="Arial" w:hAnsi="Arial" w:eastAsia="Times New Roman"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eastAsia="Times New Roman"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eastAsia="Times New Roman"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hint="eastAsia"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Arial"/>
                <w:sz w:val="18"/>
                <w:szCs w:val="22"/>
              </w:rPr>
            </w:pPr>
            <w:r>
              <w:rPr>
                <w:rFonts w:ascii="Arial" w:hAnsi="Arial" w:eastAsia="Times New Roman" w:cs="Arial"/>
                <w:sz w:val="18"/>
              </w:rPr>
              <w:t xml:space="preserve">NOTE </w:t>
            </w:r>
            <w:r>
              <w:rPr>
                <w:rFonts w:hint="eastAsia" w:ascii="Arial" w:hAnsi="Arial" w:eastAsia="宋体" w:cs="Arial"/>
                <w:sz w:val="18"/>
                <w:lang w:val="en-US" w:eastAsia="zh-CN"/>
              </w:rPr>
              <w:t>x</w:t>
            </w:r>
            <w:r>
              <w:rPr>
                <w:rFonts w:ascii="Arial" w:hAnsi="Arial" w:eastAsia="Times New Roman" w:cs="Arial"/>
                <w:sz w:val="18"/>
              </w:rPr>
              <w:t>:</w:t>
            </w:r>
            <w:r>
              <w:rPr>
                <w:rFonts w:ascii="Arial" w:hAnsi="Arial" w:eastAsia="Times New Roman"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eastAsia="Times New Roman" w:cs="Arial"/>
                <w:sz w:val="18"/>
                <w:szCs w:val="22"/>
              </w:rPr>
              <w:t>.</w:t>
            </w:r>
          </w:p>
          <w:p>
            <w:pPr>
              <w:keepNext/>
              <w:keepLines/>
              <w:overflowPunct w:val="0"/>
              <w:autoSpaceDE w:val="0"/>
              <w:autoSpaceDN w:val="0"/>
              <w:adjustRightInd w:val="0"/>
              <w:spacing w:after="0"/>
              <w:ind w:left="851" w:hanging="851"/>
              <w:textAlignment w:val="baseline"/>
              <w:rPr>
                <w:rFonts w:ascii="Arial" w:hAnsi="Arial" w:cs="Arial"/>
                <w:sz w:val="18"/>
                <w:szCs w:val="22"/>
                <w:lang w:eastAsia="ko-KR"/>
              </w:rPr>
            </w:pPr>
            <w:r>
              <w:rPr>
                <w:rFonts w:eastAsia="Times New Roman"/>
                <w:i/>
                <w:iCs/>
                <w:color w:val="FF0000"/>
                <w:sz w:val="20"/>
                <w:lang w:eastAsia="en-GB"/>
              </w:rPr>
              <w:t xml:space="preserve">Editor's note: </w:t>
            </w:r>
            <w:r>
              <w:rPr>
                <w:rFonts w:hint="eastAsia" w:eastAsia="Times New Roman"/>
                <w:i/>
                <w:iCs/>
                <w:color w:val="FF0000"/>
                <w:sz w:val="20"/>
                <w:lang w:eastAsia="en-GB"/>
              </w:rPr>
              <w:t xml:space="preserve">The NOTE order must keep consistent with the </w:t>
            </w:r>
            <w:r>
              <w:rPr>
                <w:rFonts w:eastAsia="Times New Roman"/>
                <w:i/>
                <w:iCs/>
                <w:color w:val="FF0000"/>
                <w:sz w:val="20"/>
                <w:lang w:eastAsia="en-GB"/>
              </w:rPr>
              <w:t>Table 6.5A.3.2.3-1</w:t>
            </w:r>
            <w:r>
              <w:rPr>
                <w:rFonts w:hint="eastAsia" w:eastAsia="Times New Roman"/>
                <w:i/>
                <w:iCs/>
                <w:color w:val="FF0000"/>
                <w:sz w:val="20"/>
                <w:lang w:eastAsia="en-GB"/>
              </w:rPr>
              <w:t xml:space="preserve"> in TS38.101-1.</w:t>
            </w:r>
          </w:p>
        </w:tc>
      </w:tr>
    </w:tbl>
    <w:p>
      <w:pPr>
        <w:rPr>
          <w:lang w:eastAsia="ja-JP"/>
        </w:rPr>
      </w:pPr>
    </w:p>
    <w:p>
      <w:pPr>
        <w:pStyle w:val="5"/>
        <w:numPr>
          <w:ilvl w:val="3"/>
          <w:numId w:val="0"/>
        </w:numPr>
        <w:rPr>
          <w:rFonts w:cs="Arial"/>
          <w:lang w:eastAsia="zh-CN"/>
        </w:rPr>
      </w:pPr>
      <w:bookmarkStart w:id="172" w:name="_Toc1241"/>
      <w:bookmarkStart w:id="173" w:name="_Toc17184"/>
      <w:bookmarkStart w:id="174" w:name="_Toc29871"/>
      <w:bookmarkStart w:id="175" w:name="_Toc109047248"/>
      <w:bookmarkStart w:id="176" w:name="_Toc15760"/>
      <w:bookmarkStart w:id="177" w:name="_Toc15875"/>
      <w:bookmarkStart w:id="178" w:name="_Toc15932"/>
      <w:bookmarkStart w:id="179" w:name="_Toc21938"/>
      <w:bookmarkStart w:id="180" w:name="_Toc29560"/>
      <w:bookmarkStart w:id="181" w:name="_Toc1693"/>
      <w:bookmarkStart w:id="182" w:name="_Toc12186"/>
      <w:r>
        <w:t>5.x.2.3</w:t>
      </w:r>
      <w:r>
        <w:tab/>
      </w:r>
      <w:r>
        <w:rPr>
          <w:rFonts w:cs="Arial"/>
          <w:szCs w:val="22"/>
          <w:lang w:val="en-US" w:eastAsia="zh-CN"/>
        </w:rPr>
        <w:t>REFSENS requirements</w:t>
      </w:r>
      <w:bookmarkEnd w:id="172"/>
      <w:bookmarkEnd w:id="173"/>
      <w:bookmarkEnd w:id="174"/>
      <w:bookmarkEnd w:id="175"/>
      <w:bookmarkEnd w:id="176"/>
      <w:bookmarkEnd w:id="177"/>
      <w:bookmarkEnd w:id="178"/>
      <w:bookmarkEnd w:id="179"/>
      <w:bookmarkEnd w:id="180"/>
      <w:bookmarkEnd w:id="181"/>
      <w:bookmarkEnd w:id="182"/>
    </w:p>
    <w:p>
      <w:pPr>
        <w:pStyle w:val="199"/>
        <w:overflowPunct w:val="0"/>
        <w:autoSpaceDE w:val="0"/>
        <w:autoSpaceDN w:val="0"/>
        <w:adjustRightInd w:val="0"/>
        <w:ind w:left="284" w:firstLine="0"/>
        <w:textAlignment w:val="baseline"/>
        <w:rPr>
          <w:rFonts w:hint="eastAsia" w:ascii="Times New Roman" w:hAnsi="Times New Roman" w:cs="Times New Roman"/>
          <w:i/>
          <w:iCs/>
          <w:lang w:val="en-US" w:eastAsia="zh-CN"/>
        </w:rPr>
      </w:pPr>
      <w:r>
        <w:rPr>
          <w:rFonts w:ascii="Times New Roman" w:hAnsi="Times New Roman" w:eastAsia="Times New Roman" w:cs="Times New Roman"/>
          <w:i/>
          <w:iCs/>
          <w:lang w:eastAsia="en-GB"/>
        </w:rPr>
        <w:t xml:space="preserve">Editor's note 1: Text will be added if  IMD due to 2 bands UL </w:t>
      </w:r>
      <w:r>
        <w:rPr>
          <w:rFonts w:ascii="Times New Roman" w:hAnsi="Times New Roman" w:cs="Times New Roman"/>
          <w:i/>
          <w:iCs/>
          <w:lang w:val="en-US" w:eastAsia="en-GB"/>
        </w:rPr>
        <w:t>with 2 UL carriers</w:t>
      </w:r>
      <w:r>
        <w:rPr>
          <w:rFonts w:ascii="Times New Roman" w:hAnsi="Times New Roman" w:cs="Times New Roman"/>
          <w:i/>
          <w:iCs/>
          <w:lang w:eastAsia="en-GB"/>
        </w:rPr>
        <w:t xml:space="preserve"> or triple beat </w:t>
      </w:r>
      <w:r>
        <w:rPr>
          <w:rFonts w:ascii="Times New Roman" w:hAnsi="Times New Roman" w:cs="Times New Roman"/>
          <w:i/>
          <w:iCs/>
          <w:lang w:val="en-US" w:eastAsia="en-GB"/>
        </w:rPr>
        <w:t>due to 2 band</w:t>
      </w:r>
      <w:r>
        <w:rPr>
          <w:rFonts w:hint="eastAsia" w:ascii="Times New Roman" w:hAnsi="Times New Roman" w:cs="Times New Roman"/>
          <w:i/>
          <w:iCs/>
          <w:lang w:val="en-US" w:eastAsia="zh-CN"/>
        </w:rPr>
        <w:t>s</w:t>
      </w:r>
      <w:r>
        <w:rPr>
          <w:rFonts w:ascii="Times New Roman" w:hAnsi="Times New Roman" w:cs="Times New Roman"/>
          <w:i/>
          <w:iCs/>
          <w:lang w:val="en-US" w:eastAsia="en-GB"/>
        </w:rPr>
        <w:t xml:space="preserve"> UL with 3 UL carriers</w:t>
      </w:r>
      <w:r>
        <w:rPr>
          <w:rFonts w:ascii="Times New Roman" w:hAnsi="Times New Roman" w:cs="Times New Roman"/>
          <w:i/>
          <w:iCs/>
          <w:lang w:val="en-US" w:eastAsia="zh-CN"/>
        </w:rPr>
        <w:t xml:space="preserve"> </w:t>
      </w:r>
      <w:r>
        <w:rPr>
          <w:rFonts w:ascii="Times New Roman" w:hAnsi="Times New Roman" w:eastAsia="Times New Roman" w:cs="Times New Roman"/>
          <w:i/>
          <w:iCs/>
          <w:lang w:eastAsia="en-GB"/>
        </w:rPr>
        <w:t>issues are identified</w:t>
      </w:r>
      <w:r>
        <w:rPr>
          <w:rFonts w:hint="eastAsia" w:ascii="Times New Roman" w:hAnsi="Times New Roman" w:cs="Times New Roman"/>
          <w:i/>
          <w:iCs/>
          <w:lang w:val="en-US" w:eastAsia="zh-CN"/>
        </w:rPr>
        <w:t xml:space="preserve"> in table 5.x.2.2-1 and table 5.x.2.2-2, respectively.</w:t>
      </w:r>
    </w:p>
    <w:p>
      <w:pPr>
        <w:pStyle w:val="199"/>
        <w:overflowPunct w:val="0"/>
        <w:autoSpaceDE w:val="0"/>
        <w:autoSpaceDN w:val="0"/>
        <w:adjustRightInd w:val="0"/>
        <w:ind w:left="284" w:firstLine="0"/>
        <w:textAlignment w:val="baseline"/>
        <w:rPr>
          <w:rFonts w:ascii="Times New Roman" w:hAnsi="Times New Roman" w:eastAsia="Times New Roman" w:cs="Times New Roman"/>
          <w:i/>
          <w:iCs/>
          <w:lang w:val="en-GB" w:eastAsia="en-GB"/>
        </w:rPr>
      </w:pPr>
      <w:r>
        <w:rPr>
          <w:rFonts w:ascii="Times New Roman" w:hAnsi="Times New Roman" w:eastAsia="Times New Roman" w:cs="Times New Roman"/>
          <w:i/>
          <w:iCs/>
          <w:lang w:eastAsia="en-GB"/>
        </w:rPr>
        <w:t xml:space="preserve">Editor's note </w:t>
      </w:r>
      <w:r>
        <w:rPr>
          <w:rFonts w:hint="eastAsia" w:ascii="Times New Roman" w:hAnsi="Times New Roman" w:eastAsia="Times New Roman" w:cs="Times New Roman"/>
          <w:i/>
          <w:iCs/>
          <w:lang w:val="en-GB" w:eastAsia="en-GB"/>
        </w:rPr>
        <w:t>2</w:t>
      </w:r>
      <w:r>
        <w:rPr>
          <w:rFonts w:ascii="Times New Roman" w:hAnsi="Times New Roman" w:eastAsia="Times New Roman" w:cs="Times New Roman"/>
          <w:i/>
          <w:iCs/>
          <w:lang w:eastAsia="en-GB"/>
        </w:rPr>
        <w:t>:</w:t>
      </w:r>
      <w:r>
        <w:rPr>
          <w:rFonts w:ascii="Times New Roman" w:hAnsi="Times New Roman" w:eastAsia="Times New Roman" w:cs="Times New Roman"/>
          <w:i/>
          <w:iCs/>
          <w:lang w:val="en-GB" w:eastAsia="en-GB"/>
        </w:rPr>
        <w:t xml:space="preserve"> P</w:t>
      </w:r>
      <w:r>
        <w:rPr>
          <w:rFonts w:hint="eastAsia" w:ascii="Times New Roman" w:hAnsi="Times New Roman" w:eastAsia="Times New Roman" w:cs="Times New Roman"/>
          <w:i/>
          <w:iCs/>
          <w:lang w:val="en-GB" w:eastAsia="en-GB"/>
        </w:rPr>
        <w:t xml:space="preserve">roponent </w:t>
      </w:r>
      <w:r>
        <w:rPr>
          <w:rFonts w:ascii="Times New Roman" w:hAnsi="Times New Roman" w:eastAsia="Times New Roman" w:cs="Times New Roman"/>
          <w:i/>
          <w:iCs/>
          <w:lang w:val="en-GB" w:eastAsia="en-GB"/>
        </w:rPr>
        <w:t xml:space="preserve">are encouraged </w:t>
      </w:r>
      <w:r>
        <w:rPr>
          <w:rFonts w:hint="eastAsia" w:ascii="Times New Roman" w:hAnsi="Times New Roman" w:eastAsia="Times New Roman" w:cs="Times New Roman"/>
          <w:i/>
          <w:iCs/>
          <w:lang w:val="en-GB" w:eastAsia="en-GB"/>
        </w:rPr>
        <w:t>to provide t</w:t>
      </w:r>
      <w:r>
        <w:rPr>
          <w:rFonts w:ascii="Times New Roman" w:hAnsi="Times New Roman" w:eastAsia="Times New Roman" w:cs="Times New Roman"/>
          <w:i/>
          <w:iCs/>
          <w:lang w:val="en-GB" w:eastAsia="en-GB"/>
        </w:rPr>
        <w:t xml:space="preserve">he </w:t>
      </w:r>
      <w:r>
        <w:rPr>
          <w:rFonts w:hint="eastAsia" w:ascii="Times New Roman" w:hAnsi="Times New Roman" w:eastAsia="Times New Roman" w:cs="Times New Roman"/>
          <w:i/>
          <w:iCs/>
          <w:lang w:val="en-GB" w:eastAsia="en-GB"/>
        </w:rPr>
        <w:t>detailed</w:t>
      </w:r>
      <w:r>
        <w:rPr>
          <w:rFonts w:ascii="Times New Roman" w:hAnsi="Times New Roman" w:eastAsia="Times New Roman" w:cs="Times New Roman"/>
          <w:i/>
          <w:iCs/>
          <w:lang w:val="en-GB" w:eastAsia="en-GB"/>
        </w:rPr>
        <w:t xml:space="preserve"> </w:t>
      </w:r>
      <w:r>
        <w:rPr>
          <w:rFonts w:hint="eastAsia" w:ascii="Times New Roman" w:hAnsi="Times New Roman" w:eastAsia="Times New Roman" w:cs="Times New Roman"/>
          <w:i/>
          <w:iCs/>
          <w:lang w:val="en-GB" w:eastAsia="en-GB"/>
        </w:rPr>
        <w:t xml:space="preserve">technical </w:t>
      </w:r>
      <w:r>
        <w:rPr>
          <w:rFonts w:ascii="Times New Roman" w:hAnsi="Times New Roman" w:eastAsia="Times New Roman" w:cs="Times New Roman"/>
          <w:i/>
          <w:iCs/>
          <w:lang w:val="en-GB" w:eastAsia="en-GB"/>
        </w:rPr>
        <w:t xml:space="preserve">analysis </w:t>
      </w:r>
      <w:r>
        <w:rPr>
          <w:rFonts w:hint="eastAsia" w:ascii="Times New Roman" w:hAnsi="Times New Roman" w:eastAsia="Times New Roman" w:cs="Times New Roman"/>
          <w:i/>
          <w:iCs/>
          <w:lang w:val="en-GB" w:eastAsia="en-GB"/>
        </w:rPr>
        <w:t xml:space="preserve">of </w:t>
      </w:r>
      <w:r>
        <w:rPr>
          <w:rFonts w:ascii="Times New Roman" w:hAnsi="Times New Roman" w:eastAsia="Times New Roman" w:cs="Times New Roman"/>
          <w:i/>
          <w:iCs/>
          <w:lang w:val="en-GB" w:eastAsia="en-GB"/>
        </w:rPr>
        <w:t xml:space="preserve">the </w:t>
      </w:r>
      <w:r>
        <w:rPr>
          <w:rFonts w:hint="eastAsia" w:ascii="Times New Roman" w:hAnsi="Times New Roman" w:eastAsia="Times New Roman" w:cs="Times New Roman"/>
          <w:i/>
          <w:iCs/>
          <w:lang w:val="en-GB" w:eastAsia="en-GB"/>
        </w:rPr>
        <w:t>MSD requirements</w:t>
      </w:r>
      <w:r>
        <w:rPr>
          <w:rFonts w:ascii="Times New Roman" w:hAnsi="Times New Roman" w:eastAsia="Times New Roman" w:cs="Times New Roman"/>
          <w:i/>
          <w:iCs/>
          <w:lang w:val="en-GB" w:eastAsia="en-GB"/>
        </w:rPr>
        <w:t>.</w:t>
      </w:r>
      <w:r>
        <w:rPr>
          <w:rFonts w:hint="eastAsia" w:ascii="Times New Roman" w:hAnsi="Times New Roman" w:eastAsia="Times New Roman" w:cs="Times New Roman"/>
          <w:i/>
          <w:iCs/>
          <w:lang w:val="en-GB" w:eastAsia="en-GB"/>
        </w:rPr>
        <w:t xml:space="preserve"> For example: RF architectu</w:t>
      </w:r>
      <w:r>
        <w:rPr>
          <w:rFonts w:ascii="Times New Roman" w:hAnsi="Times New Roman" w:eastAsia="Times New Roman" w:cs="Times New Roman"/>
          <w:i/>
          <w:iCs/>
          <w:lang w:val="en-GB" w:eastAsia="en-GB"/>
        </w:rPr>
        <w:t>r</w:t>
      </w:r>
      <w:r>
        <w:rPr>
          <w:rFonts w:hint="eastAsia" w:ascii="Times New Roman" w:hAnsi="Times New Roman" w:eastAsia="Times New Roman" w:cs="Times New Roman"/>
          <w:i/>
          <w:iCs/>
          <w:lang w:val="en-GB" w:eastAsia="en-GB"/>
        </w:rPr>
        <w:t>e, RF</w:t>
      </w:r>
      <w:r>
        <w:rPr>
          <w:rFonts w:hint="eastAsia" w:ascii="Times New Roman" w:hAnsi="Times New Roman" w:cs="Times New Roman"/>
          <w:i/>
          <w:iCs/>
          <w:lang w:val="en-US" w:eastAsia="zh-CN"/>
        </w:rPr>
        <w:t xml:space="preserve"> </w:t>
      </w:r>
      <w:r>
        <w:rPr>
          <w:rFonts w:hint="eastAsia" w:ascii="Times New Roman" w:hAnsi="Times New Roman" w:eastAsia="Times New Roman" w:cs="Times New Roman"/>
          <w:i/>
          <w:iCs/>
          <w:lang w:val="en-GB" w:eastAsia="en-GB"/>
        </w:rPr>
        <w:t>components parameter, and etc.</w:t>
      </w:r>
      <w:r>
        <w:rPr>
          <w:rFonts w:ascii="Times New Roman" w:hAnsi="Times New Roman" w:eastAsia="Times New Roman" w:cs="Times New Roman"/>
          <w:i/>
          <w:iCs/>
          <w:lang w:eastAsia="en-GB"/>
        </w:rPr>
        <w:t xml:space="preserve"> </w:t>
      </w:r>
      <w:r>
        <w:rPr>
          <w:rFonts w:ascii="Times New Roman" w:hAnsi="Times New Roman" w:eastAsia="Times New Roman" w:cs="Times New Roman"/>
          <w:i/>
          <w:iCs/>
          <w:lang w:val="en-GB" w:eastAsia="en-GB"/>
        </w:rPr>
        <w:t>In the case where the proponent is missing some elements to calculate the REFSENS exception cases, the TP can be submitted to the “not for bl</w:t>
      </w:r>
      <w:r>
        <w:rPr>
          <w:rFonts w:ascii="Times New Roman" w:hAnsi="Times New Roman" w:eastAsia="Times New Roman" w:cs="Times New Roman"/>
          <w:i/>
          <w:iCs/>
          <w:lang w:eastAsia="en-GB"/>
        </w:rPr>
        <w:t>o</w:t>
      </w:r>
      <w:r>
        <w:rPr>
          <w:rFonts w:ascii="Times New Roman" w:hAnsi="Times New Roman" w:eastAsia="Times New Roman" w:cs="Times New Roman"/>
          <w:i/>
          <w:iCs/>
          <w:lang w:val="en-GB" w:eastAsia="en-GB"/>
        </w:rPr>
        <w:t>ck approval” AI for expert support.</w:t>
      </w:r>
    </w:p>
    <w:p>
      <w:pPr>
        <w:pStyle w:val="199"/>
        <w:overflowPunct w:val="0"/>
        <w:autoSpaceDE w:val="0"/>
        <w:autoSpaceDN w:val="0"/>
        <w:adjustRightInd w:val="0"/>
        <w:ind w:left="284" w:firstLine="0"/>
        <w:textAlignment w:val="baseline"/>
        <w:rPr>
          <w:rFonts w:eastAsia="Arial"/>
          <w:color w:val="0070C0"/>
          <w:lang w:val="en-US" w:eastAsia="zh-CN"/>
        </w:rPr>
      </w:pPr>
      <w:r>
        <w:rPr>
          <w:rFonts w:eastAsia="Arial"/>
          <w:color w:val="0070C0"/>
          <w:lang w:val="en-US" w:eastAsia="zh-CN"/>
        </w:rPr>
        <w:t>*********************</w:t>
      </w:r>
      <w:r>
        <w:rPr>
          <w:rFonts w:hint="eastAsia" w:eastAsia="Arial"/>
          <w:color w:val="0070C0"/>
          <w:lang w:val="en-US" w:eastAsia="zh-CN"/>
        </w:rPr>
        <w:t xml:space="preserve">Other </w:t>
      </w:r>
      <w:r>
        <w:rPr>
          <w:rFonts w:eastAsia="Arial"/>
          <w:color w:val="0070C0"/>
          <w:lang w:val="en-US" w:eastAsia="zh-CN"/>
        </w:rPr>
        <w:t>section</w:t>
      </w:r>
      <w:r>
        <w:rPr>
          <w:rFonts w:hint="eastAsia" w:eastAsia="Arial"/>
          <w:color w:val="0070C0"/>
          <w:lang w:val="en-US" w:eastAsia="zh-CN"/>
        </w:rPr>
        <w:t xml:space="preserve"> for NR DC are</w:t>
      </w:r>
      <w:r>
        <w:rPr>
          <w:rFonts w:eastAsia="Arial"/>
          <w:color w:val="0070C0"/>
          <w:lang w:val="en-US" w:eastAsia="zh-CN"/>
        </w:rPr>
        <w:t xml:space="preserve"> omitted in this version of the example *********</w:t>
      </w:r>
    </w:p>
    <w:p>
      <w:pPr>
        <w:keepNext/>
        <w:keepLines/>
        <w:tabs>
          <w:tab w:val="left" w:pos="1985"/>
        </w:tabs>
        <w:jc w:val="both"/>
        <w:outlineLvl w:val="0"/>
        <w:rPr>
          <w:rFonts w:ascii="Arial" w:hAnsi="Arial"/>
          <w:sz w:val="36"/>
          <w:lang w:val="en-US" w:eastAsia="zh-CN"/>
        </w:rPr>
      </w:pPr>
      <w:r>
        <w:rPr>
          <w:rFonts w:hint="eastAsia" w:ascii="Arial" w:hAnsi="Arial"/>
          <w:sz w:val="36"/>
          <w:lang w:val="en-US" w:eastAsia="zh-CN"/>
        </w:rPr>
        <w:t>Annex  A:  Band group definition</w:t>
      </w:r>
    </w:p>
    <w:p>
      <w:pPr>
        <w:pStyle w:val="28"/>
        <w:keepNext/>
        <w:spacing w:after="0"/>
        <w:rPr>
          <w:b w:val="0"/>
          <w:color w:val="auto"/>
          <w:sz w:val="20"/>
        </w:rPr>
      </w:pPr>
      <w:r>
        <w:rPr>
          <w:b w:val="0"/>
          <w:color w:val="auto"/>
          <w:sz w:val="20"/>
        </w:rPr>
        <w:t>For the following MSD issues detection, a criterion applies in terms of band group as defined in Table A</w:t>
      </w:r>
      <w:r>
        <w:rPr>
          <w:rFonts w:hint="eastAsia" w:eastAsia="宋体"/>
          <w:b w:val="0"/>
          <w:color w:val="auto"/>
          <w:sz w:val="20"/>
          <w:lang w:eastAsia="zh-CN"/>
        </w:rPr>
        <w:t>.1</w:t>
      </w:r>
      <w:r>
        <w:rPr>
          <w:b w:val="0"/>
          <w:color w:val="auto"/>
          <w:sz w:val="20"/>
        </w:rPr>
        <w:t>:</w:t>
      </w:r>
    </w:p>
    <w:p>
      <w:pPr>
        <w:pStyle w:val="28"/>
        <w:keepNext/>
        <w:numPr>
          <w:ilvl w:val="0"/>
          <w:numId w:val="13"/>
        </w:numPr>
        <w:spacing w:after="0"/>
        <w:rPr>
          <w:b w:val="0"/>
          <w:color w:val="auto"/>
          <w:sz w:val="20"/>
        </w:rPr>
      </w:pPr>
      <w:r>
        <w:rPr>
          <w:b w:val="0"/>
          <w:color w:val="auto"/>
          <w:sz w:val="20"/>
        </w:rPr>
        <w:t>For 2DL 1UL/1CC cross-band isolation, and for the Tx noise floor MSD to be considered, the two bands should be part of the same or adjacent band group.</w:t>
      </w:r>
    </w:p>
    <w:p>
      <w:pPr>
        <w:pStyle w:val="28"/>
        <w:keepNext/>
        <w:numPr>
          <w:ilvl w:val="0"/>
          <w:numId w:val="13"/>
        </w:numPr>
        <w:spacing w:after="0"/>
        <w:rPr>
          <w:b w:val="0"/>
          <w:color w:val="auto"/>
          <w:sz w:val="20"/>
        </w:rPr>
      </w:pPr>
      <w:r>
        <w:rPr>
          <w:b w:val="0"/>
          <w:color w:val="auto"/>
          <w:sz w:val="20"/>
        </w:rPr>
        <w:t>For 2DL 2UL/3CC triple beat MSD to be considered, the two bands should be part of the same or adjacent band group.</w:t>
      </w:r>
    </w:p>
    <w:p>
      <w:pPr>
        <w:keepNext/>
        <w:keepLines/>
        <w:spacing w:before="120"/>
        <w:ind w:left="852" w:firstLine="284"/>
        <w:jc w:val="both"/>
        <w:rPr>
          <w:rFonts w:ascii="Arial" w:hAnsi="Arial"/>
          <w:b/>
          <w:sz w:val="20"/>
          <w:lang w:val="zh-CN"/>
        </w:rPr>
      </w:pPr>
      <w:r>
        <w:rPr>
          <w:rFonts w:ascii="Arial" w:hAnsi="Arial"/>
          <w:b/>
          <w:sz w:val="20"/>
          <w:lang w:val="zh-CN"/>
        </w:rPr>
        <w:t xml:space="preserve">Table </w:t>
      </w:r>
      <w:r>
        <w:rPr>
          <w:rFonts w:ascii="Arial" w:hAnsi="Arial"/>
          <w:b/>
          <w:sz w:val="20"/>
          <w:lang w:val="en-US"/>
        </w:rPr>
        <w:t>A</w:t>
      </w:r>
      <w:r>
        <w:rPr>
          <w:rFonts w:hint="eastAsia" w:ascii="Arial" w:hAnsi="Arial" w:eastAsia="宋体"/>
          <w:b/>
          <w:sz w:val="20"/>
          <w:lang w:val="en-US" w:eastAsia="zh-CN"/>
        </w:rPr>
        <w:t>.1</w:t>
      </w:r>
      <w:r>
        <w:rPr>
          <w:rFonts w:ascii="Arial" w:hAnsi="Arial"/>
          <w:b/>
          <w:sz w:val="20"/>
          <w:lang w:val="zh-CN"/>
        </w:rPr>
        <w:t>: Band group definition for same or adjacent band-group criterion</w:t>
      </w:r>
    </w:p>
    <w:tbl>
      <w:tblPr>
        <w:tblStyle w:val="76"/>
        <w:tblW w:w="0" w:type="auto"/>
        <w:jc w:val="center"/>
        <w:tblLayout w:type="fixed"/>
        <w:tblCellMar>
          <w:top w:w="0" w:type="dxa"/>
          <w:left w:w="0" w:type="dxa"/>
          <w:bottom w:w="0" w:type="dxa"/>
          <w:right w:w="0" w:type="dxa"/>
        </w:tblCellMar>
      </w:tblPr>
      <w:tblGrid>
        <w:gridCol w:w="1231"/>
        <w:gridCol w:w="1206"/>
        <w:gridCol w:w="1206"/>
        <w:gridCol w:w="1376"/>
        <w:gridCol w:w="1151"/>
        <w:gridCol w:w="1281"/>
      </w:tblGrid>
      <w:tr>
        <w:tblPrEx>
          <w:tblCellMar>
            <w:top w:w="0" w:type="dxa"/>
            <w:left w:w="0" w:type="dxa"/>
            <w:bottom w:w="0" w:type="dxa"/>
            <w:right w:w="0" w:type="dxa"/>
          </w:tblCellMar>
        </w:tblPrEx>
        <w:trPr>
          <w:trHeight w:val="37" w:hRule="atLeast"/>
          <w:jc w:val="center"/>
        </w:trPr>
        <w:tc>
          <w:tcPr>
            <w:tcW w:w="7451" w:type="dxa"/>
            <w:gridSpan w:val="6"/>
            <w:tcBorders>
              <w:top w:val="single" w:color="auto" w:sz="4" w:space="0"/>
              <w:left w:val="single" w:color="auto" w:sz="4" w:space="0"/>
              <w:bottom w:val="single" w:color="auto" w:sz="4" w:space="0"/>
              <w:right w:val="single" w:color="auto" w:sz="4" w:space="0"/>
            </w:tcBorders>
          </w:tcPr>
          <w:p>
            <w:pPr>
              <w:pStyle w:val="180"/>
              <w:rPr>
                <w:color w:val="auto"/>
                <w:sz w:val="20"/>
              </w:rPr>
            </w:pPr>
            <w:bookmarkStart w:id="183" w:name="OLE_LINK70"/>
            <w:r>
              <w:rPr>
                <w:color w:val="auto"/>
                <w:sz w:val="20"/>
              </w:rPr>
              <w:t>FR1 band group range</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rPr>
            </w:pPr>
            <w:r>
              <w:rPr>
                <w:color w:val="auto"/>
                <w:sz w:val="20"/>
              </w:rPr>
              <w:t>Name</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b/>
                <w:bCs/>
                <w:color w:val="auto"/>
                <w:sz w:val="20"/>
              </w:rPr>
            </w:pPr>
            <w:r>
              <w:rPr>
                <w:b/>
                <w:bCs/>
                <w:color w:val="auto"/>
                <w:sz w:val="20"/>
              </w:rPr>
              <w:t>FR1-a</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b/>
                <w:bCs/>
                <w:color w:val="auto"/>
                <w:sz w:val="20"/>
              </w:rPr>
            </w:pPr>
            <w:r>
              <w:rPr>
                <w:b/>
                <w:bCs/>
                <w:color w:val="auto"/>
                <w:sz w:val="20"/>
              </w:rPr>
              <w:t>FR1-b</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b/>
                <w:bCs/>
                <w:color w:val="auto"/>
                <w:sz w:val="20"/>
              </w:rPr>
            </w:pPr>
            <w:r>
              <w:rPr>
                <w:b/>
                <w:bCs/>
                <w:color w:val="auto"/>
                <w:sz w:val="20"/>
              </w:rPr>
              <w:t>FR1-c</w:t>
            </w:r>
          </w:p>
        </w:tc>
        <w:tc>
          <w:tcPr>
            <w:tcW w:w="1151" w:type="dxa"/>
            <w:tcBorders>
              <w:top w:val="single" w:color="auto" w:sz="4" w:space="0"/>
              <w:left w:val="single" w:color="auto" w:sz="4" w:space="0"/>
              <w:bottom w:val="single" w:color="auto" w:sz="4" w:space="0"/>
              <w:right w:val="single" w:color="auto" w:sz="4" w:space="0"/>
            </w:tcBorders>
          </w:tcPr>
          <w:p>
            <w:pPr>
              <w:pStyle w:val="181"/>
              <w:rPr>
                <w:b/>
                <w:bCs/>
                <w:color w:val="auto"/>
                <w:sz w:val="20"/>
              </w:rPr>
            </w:pPr>
            <w:r>
              <w:rPr>
                <w:b/>
                <w:bCs/>
                <w:color w:val="auto"/>
                <w:sz w:val="20"/>
              </w:rPr>
              <w:t>FR1-d</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b/>
                <w:bCs/>
                <w:color w:val="auto"/>
                <w:sz w:val="20"/>
              </w:rPr>
            </w:pPr>
            <w:r>
              <w:rPr>
                <w:b/>
                <w:bCs/>
                <w:color w:val="auto"/>
                <w:sz w:val="20"/>
              </w:rPr>
              <w:t>FR1-e</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rPr>
            </w:pPr>
            <w:r>
              <w:rPr>
                <w:color w:val="auto"/>
                <w:sz w:val="20"/>
              </w:rPr>
              <w:t>Range (MHz)</w:t>
            </w:r>
          </w:p>
        </w:tc>
        <w:tc>
          <w:tcPr>
            <w:tcW w:w="120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rPr>
            </w:pPr>
            <w:r>
              <w:rPr>
                <w:color w:val="auto"/>
                <w:sz w:val="20"/>
              </w:rPr>
              <w:t>600-1000</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color w:val="auto"/>
                <w:sz w:val="20"/>
              </w:rPr>
            </w:pPr>
            <w:r>
              <w:rPr>
                <w:color w:val="auto"/>
                <w:sz w:val="20"/>
              </w:rPr>
              <w:t>1400-2200</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rPr>
            </w:pPr>
            <w:r>
              <w:rPr>
                <w:color w:val="auto"/>
                <w:sz w:val="20"/>
              </w:rPr>
              <w:t>2300-2700</w:t>
            </w:r>
          </w:p>
        </w:tc>
        <w:tc>
          <w:tcPr>
            <w:tcW w:w="1151" w:type="dxa"/>
            <w:tcBorders>
              <w:top w:val="single" w:color="auto" w:sz="4" w:space="0"/>
              <w:left w:val="single" w:color="auto" w:sz="4" w:space="0"/>
              <w:bottom w:val="single" w:color="auto" w:sz="4" w:space="0"/>
              <w:right w:val="single" w:color="auto" w:sz="4" w:space="0"/>
            </w:tcBorders>
          </w:tcPr>
          <w:p>
            <w:pPr>
              <w:pStyle w:val="181"/>
              <w:rPr>
                <w:color w:val="auto"/>
                <w:sz w:val="20"/>
              </w:rPr>
            </w:pPr>
            <w:r>
              <w:rPr>
                <w:color w:val="auto"/>
                <w:sz w:val="20"/>
              </w:rPr>
              <w:t>3300-5000</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rPr>
            </w:pPr>
            <w:r>
              <w:rPr>
                <w:color w:val="auto"/>
                <w:sz w:val="20"/>
              </w:rPr>
              <w:t>5150-7125</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rPr>
            </w:pPr>
            <w:r>
              <w:rPr>
                <w:color w:val="auto"/>
                <w:sz w:val="20"/>
              </w:rPr>
              <w:t>Duplex mode</w:t>
            </w:r>
          </w:p>
        </w:tc>
        <w:tc>
          <w:tcPr>
            <w:tcW w:w="120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rPr>
            </w:pPr>
            <w:r>
              <w:rPr>
                <w:color w:val="auto"/>
                <w:sz w:val="20"/>
              </w:rPr>
              <w:t>Mostly FDD</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color w:val="auto"/>
                <w:sz w:val="20"/>
              </w:rPr>
            </w:pPr>
            <w:r>
              <w:rPr>
                <w:color w:val="auto"/>
                <w:sz w:val="20"/>
              </w:rPr>
              <w:t>Mostly FDD</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rPr>
            </w:pPr>
            <w:r>
              <w:rPr>
                <w:color w:val="auto"/>
                <w:sz w:val="20"/>
              </w:rPr>
              <w:t>FDD and TDD</w:t>
            </w:r>
          </w:p>
        </w:tc>
        <w:tc>
          <w:tcPr>
            <w:tcW w:w="1151" w:type="dxa"/>
            <w:tcBorders>
              <w:top w:val="single" w:color="auto" w:sz="4" w:space="0"/>
              <w:left w:val="single" w:color="auto" w:sz="4" w:space="0"/>
              <w:bottom w:val="single" w:color="auto" w:sz="4" w:space="0"/>
              <w:right w:val="single" w:color="auto" w:sz="4" w:space="0"/>
            </w:tcBorders>
            <w:vAlign w:val="center"/>
          </w:tcPr>
          <w:p>
            <w:pPr>
              <w:pStyle w:val="181"/>
              <w:rPr>
                <w:color w:val="auto"/>
                <w:sz w:val="20"/>
              </w:rPr>
            </w:pPr>
            <w:r>
              <w:rPr>
                <w:color w:val="auto"/>
                <w:sz w:val="20"/>
              </w:rPr>
              <w:t>TDD only</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81"/>
              <w:rPr>
                <w:color w:val="auto"/>
                <w:sz w:val="20"/>
              </w:rPr>
            </w:pPr>
            <w:r>
              <w:rPr>
                <w:color w:val="auto"/>
                <w:sz w:val="20"/>
              </w:rPr>
              <w:t>TDD only</w:t>
            </w:r>
          </w:p>
        </w:tc>
      </w:tr>
      <w:bookmarkEnd w:id="183"/>
    </w:tbl>
    <w:p>
      <w:pPr>
        <w:rPr>
          <w:sz w:val="20"/>
        </w:rPr>
      </w:pPr>
    </w:p>
    <w:p>
      <w:pPr>
        <w:keepNext/>
        <w:keepLines/>
        <w:tabs>
          <w:tab w:val="left" w:pos="1985"/>
        </w:tabs>
        <w:jc w:val="both"/>
        <w:outlineLvl w:val="0"/>
        <w:rPr>
          <w:rFonts w:ascii="Arial" w:hAnsi="Arial"/>
          <w:sz w:val="36"/>
          <w:lang w:val="en-US" w:eastAsia="en-GB"/>
        </w:rPr>
      </w:pPr>
      <w:r>
        <w:rPr>
          <w:rFonts w:hint="eastAsia" w:ascii="Arial" w:hAnsi="Arial"/>
          <w:sz w:val="36"/>
          <w:lang w:val="en-US" w:eastAsia="zh-CN"/>
        </w:rPr>
        <w:t>Annex B: Valid UL configurations</w:t>
      </w:r>
    </w:p>
    <w:p>
      <w:pPr>
        <w:keepNext/>
        <w:overflowPunct w:val="0"/>
        <w:autoSpaceDE w:val="0"/>
        <w:autoSpaceDN w:val="0"/>
        <w:adjustRightInd w:val="0"/>
        <w:snapToGrid w:val="0"/>
        <w:spacing w:after="0"/>
        <w:textAlignment w:val="baseline"/>
        <w:rPr>
          <w:rFonts w:hint="default" w:ascii="Arial" w:hAnsi="Arial" w:eastAsia="Times New Roman" w:cs="Arial"/>
          <w:sz w:val="20"/>
          <w:szCs w:val="20"/>
          <w:lang w:val="en-US" w:eastAsia="en-GB"/>
        </w:rPr>
      </w:pPr>
      <w:r>
        <w:rPr>
          <w:rFonts w:hint="default" w:ascii="Arial" w:hAnsi="Arial" w:eastAsia="Times New Roman" w:cs="Arial"/>
          <w:sz w:val="20"/>
          <w:szCs w:val="20"/>
          <w:lang w:val="en-US" w:eastAsia="en-GB"/>
        </w:rPr>
        <w:t>For CA_nX-nY two band DL inter band combinations, the following UL configurations are applicable:</w:t>
      </w:r>
    </w:p>
    <w:p>
      <w:pPr>
        <w:keepNext/>
        <w:numPr>
          <w:ilvl w:val="0"/>
          <w:numId w:val="14"/>
        </w:numPr>
        <w:overflowPunct w:val="0"/>
        <w:autoSpaceDE w:val="0"/>
        <w:autoSpaceDN w:val="0"/>
        <w:adjustRightInd w:val="0"/>
        <w:snapToGrid w:val="0"/>
        <w:spacing w:after="0"/>
        <w:textAlignment w:val="baseline"/>
        <w:rPr>
          <w:rFonts w:hint="default" w:ascii="Arial" w:hAnsi="Arial" w:eastAsia="Times New Roman" w:cs="Arial"/>
          <w:sz w:val="20"/>
          <w:szCs w:val="20"/>
          <w:lang w:val="en-US" w:eastAsia="en-GB"/>
        </w:rPr>
      </w:pPr>
      <w:r>
        <w:rPr>
          <w:rFonts w:hint="default" w:ascii="Arial" w:hAnsi="Arial" w:eastAsia="Times New Roman" w:cs="Arial"/>
          <w:sz w:val="20"/>
          <w:szCs w:val="20"/>
          <w:lang w:val="en-US" w:eastAsia="en-GB"/>
        </w:rPr>
        <w:t>One band UL with o</w:t>
      </w:r>
      <w:bookmarkStart w:id="184" w:name="_GoBack"/>
      <w:bookmarkEnd w:id="184"/>
      <w:r>
        <w:rPr>
          <w:rFonts w:hint="default" w:ascii="Arial" w:hAnsi="Arial" w:eastAsia="Times New Roman" w:cs="Arial"/>
          <w:sz w:val="20"/>
          <w:szCs w:val="20"/>
          <w:lang w:val="en-US" w:eastAsia="en-GB"/>
        </w:rPr>
        <w:t>ne CC: nXA, nYA</w:t>
      </w:r>
    </w:p>
    <w:p>
      <w:pPr>
        <w:keepNext/>
        <w:numPr>
          <w:ilvl w:val="0"/>
          <w:numId w:val="14"/>
        </w:numPr>
        <w:overflowPunct w:val="0"/>
        <w:autoSpaceDE w:val="0"/>
        <w:autoSpaceDN w:val="0"/>
        <w:adjustRightInd w:val="0"/>
        <w:snapToGrid w:val="0"/>
        <w:spacing w:after="0"/>
        <w:textAlignment w:val="baseline"/>
        <w:rPr>
          <w:rFonts w:hint="default" w:ascii="Arial" w:hAnsi="Arial" w:eastAsia="Times New Roman" w:cs="Arial"/>
          <w:sz w:val="20"/>
          <w:szCs w:val="20"/>
          <w:lang w:val="en-US" w:eastAsia="en-GB"/>
        </w:rPr>
      </w:pPr>
      <w:r>
        <w:rPr>
          <w:rFonts w:hint="default" w:ascii="Arial" w:hAnsi="Arial" w:eastAsia="Times New Roman" w:cs="Arial"/>
          <w:sz w:val="20"/>
          <w:szCs w:val="20"/>
          <w:lang w:val="en-US" w:eastAsia="en-GB"/>
        </w:rPr>
        <w:t>One band UL with two CC: CA_nXB, CA_nXC, CA_nX(2A), CA_nYB, CA_nYC, CA_nY(2A)</w:t>
      </w:r>
    </w:p>
    <w:p>
      <w:pPr>
        <w:keepNext/>
        <w:numPr>
          <w:ilvl w:val="0"/>
          <w:numId w:val="14"/>
        </w:numPr>
        <w:overflowPunct w:val="0"/>
        <w:autoSpaceDE w:val="0"/>
        <w:autoSpaceDN w:val="0"/>
        <w:adjustRightInd w:val="0"/>
        <w:snapToGrid w:val="0"/>
        <w:spacing w:after="0"/>
        <w:textAlignment w:val="baseline"/>
        <w:rPr>
          <w:rFonts w:hint="default" w:ascii="Arial" w:hAnsi="Arial" w:eastAsia="Times New Roman" w:cs="Arial"/>
          <w:sz w:val="20"/>
          <w:szCs w:val="20"/>
          <w:lang w:val="en-US" w:eastAsia="en-GB"/>
        </w:rPr>
      </w:pPr>
      <w:r>
        <w:rPr>
          <w:rFonts w:hint="default" w:ascii="Arial" w:hAnsi="Arial" w:eastAsia="Times New Roman" w:cs="Arial"/>
          <w:sz w:val="20"/>
          <w:szCs w:val="20"/>
          <w:lang w:val="en-US" w:eastAsia="en-GB"/>
        </w:rPr>
        <w:t>two band UL with one CC per band: CA_nXA-nYA</w:t>
      </w:r>
    </w:p>
    <w:p>
      <w:pPr>
        <w:keepNext/>
        <w:numPr>
          <w:ilvl w:val="0"/>
          <w:numId w:val="14"/>
        </w:numPr>
        <w:overflowPunct w:val="0"/>
        <w:autoSpaceDE w:val="0"/>
        <w:autoSpaceDN w:val="0"/>
        <w:adjustRightInd w:val="0"/>
        <w:snapToGrid w:val="0"/>
        <w:spacing w:after="0"/>
        <w:textAlignment w:val="baseline"/>
        <w:rPr>
          <w:rFonts w:hint="default" w:ascii="Arial" w:hAnsi="Arial" w:eastAsia="Times New Roman" w:cs="Arial"/>
          <w:sz w:val="20"/>
          <w:szCs w:val="20"/>
          <w:lang w:val="en-US" w:eastAsia="en-GB"/>
        </w:rPr>
      </w:pPr>
      <w:r>
        <w:rPr>
          <w:rFonts w:hint="default" w:ascii="Arial" w:hAnsi="Arial" w:eastAsia="Times New Roman" w:cs="Arial"/>
          <w:sz w:val="20"/>
          <w:szCs w:val="20"/>
          <w:lang w:val="en-US" w:eastAsia="en-GB"/>
        </w:rPr>
        <w:t>two band UL with two CC in one band: CA_nXB-nYA, CA_nXC-nYA, CA_nXA-nYB, CA_nXA-nYC</w:t>
      </w:r>
    </w:p>
    <w:p>
      <w:pPr>
        <w:overflowPunct w:val="0"/>
        <w:autoSpaceDE w:val="0"/>
        <w:autoSpaceDN w:val="0"/>
        <w:adjustRightInd w:val="0"/>
        <w:spacing w:after="0"/>
        <w:textAlignment w:val="baseline"/>
        <w:rPr>
          <w:rFonts w:hint="default" w:ascii="Arial" w:hAnsi="Arial" w:eastAsia="Times New Roman" w:cs="Arial"/>
          <w:sz w:val="20"/>
          <w:szCs w:val="20"/>
          <w:lang w:val="en-US" w:eastAsia="en-GB"/>
        </w:rPr>
      </w:pPr>
      <w:r>
        <w:rPr>
          <w:rFonts w:hint="default" w:ascii="Arial" w:hAnsi="Arial" w:eastAsia="Times New Roman" w:cs="Arial"/>
          <w:sz w:val="20"/>
          <w:szCs w:val="20"/>
          <w:lang w:val="en-US" w:eastAsia="en-GB"/>
        </w:rPr>
        <w:t>The following three UL cluster cases are not supported: CA_nX(2A)-nYA, CA_nXA-nY(2A)</w:t>
      </w:r>
    </w:p>
    <w:p>
      <w:pPr>
        <w:overflowPunct w:val="0"/>
        <w:autoSpaceDE w:val="0"/>
        <w:autoSpaceDN w:val="0"/>
        <w:adjustRightInd w:val="0"/>
        <w:textAlignment w:val="baseline"/>
        <w:rPr>
          <w:rFonts w:hint="default" w:ascii="Arial" w:hAnsi="Arial" w:eastAsia="宋体" w:cs="Arial"/>
          <w:b/>
          <w:sz w:val="20"/>
          <w:szCs w:val="20"/>
          <w:lang w:eastAsia="zh-CN"/>
        </w:rPr>
      </w:pPr>
      <w:r>
        <w:rPr>
          <w:rFonts w:hint="default" w:ascii="Arial" w:hAnsi="Arial" w:eastAsia="Times New Roman" w:cs="Arial"/>
          <w:sz w:val="20"/>
          <w:szCs w:val="20"/>
          <w:lang w:val="en-US" w:eastAsia="en-GB"/>
        </w:rPr>
        <w:t>Combinations with four UL CCs are not supported.</w:t>
      </w:r>
      <w:bookmarkEnd w:id="2"/>
      <w:bookmarkEnd w:id="3"/>
      <w:bookmarkEnd w:id="19"/>
      <w:bookmarkEnd w:id="20"/>
    </w:p>
    <w:p>
      <w:pPr>
        <w:pStyle w:val="2"/>
        <w:numPr>
          <w:ilvl w:val="0"/>
          <w:numId w:val="11"/>
        </w:numPr>
        <w:rPr>
          <w:rFonts w:eastAsia="宋体"/>
          <w:b/>
          <w:sz w:val="28"/>
          <w:szCs w:val="24"/>
          <w:lang w:eastAsia="zh-CN"/>
        </w:rPr>
      </w:pPr>
      <w:r>
        <w:rPr>
          <w:rFonts w:hint="eastAsia" w:eastAsia="宋体"/>
          <w:b/>
          <w:sz w:val="28"/>
          <w:szCs w:val="24"/>
          <w:lang w:eastAsia="zh-CN"/>
        </w:rPr>
        <w:t>Reference</w:t>
      </w:r>
    </w:p>
    <w:p>
      <w:pPr>
        <w:keepNext/>
        <w:keepLines/>
        <w:rPr>
          <w:rFonts w:ascii="Arial" w:hAnsi="Arial" w:eastAsia="宋体"/>
          <w:bCs/>
          <w:sz w:val="20"/>
          <w:lang w:val="en-US" w:eastAsia="zh-CN"/>
        </w:rPr>
      </w:pPr>
      <w:r>
        <w:rPr>
          <w:rFonts w:hint="eastAsia" w:ascii="Arial" w:hAnsi="Arial" w:eastAsia="宋体"/>
          <w:bCs/>
          <w:sz w:val="20"/>
          <w:lang w:val="en-US" w:eastAsia="zh-CN"/>
        </w:rPr>
        <w:t>[1</w:t>
      </w:r>
      <w:r>
        <w:rPr>
          <w:rFonts w:ascii="Arial" w:hAnsi="Arial" w:eastAsia="宋体"/>
          <w:bCs/>
          <w:sz w:val="20"/>
          <w:lang w:val="en-US" w:eastAsia="zh-CN"/>
        </w:rPr>
        <w:t>] R4-2404250, On cross-band isolation MSD analysis, Skyworks Solutions Inc., Nokia, Murata</w:t>
      </w:r>
    </w:p>
    <w:p>
      <w:pPr>
        <w:keepNext/>
        <w:keepLines/>
        <w:rPr>
          <w:rFonts w:ascii="Arial" w:hAnsi="Arial" w:eastAsia="宋体"/>
          <w:bCs/>
          <w:sz w:val="20"/>
          <w:lang w:val="en-US" w:eastAsia="zh-CN"/>
        </w:rPr>
      </w:pPr>
      <w:r>
        <w:rPr>
          <w:rFonts w:hint="eastAsia" w:ascii="Arial" w:hAnsi="Arial" w:eastAsia="宋体"/>
          <w:bCs/>
          <w:sz w:val="20"/>
          <w:lang w:val="en-US" w:eastAsia="zh-CN"/>
        </w:rPr>
        <w:t>[2</w:t>
      </w:r>
      <w:r>
        <w:rPr>
          <w:rFonts w:ascii="Arial" w:hAnsi="Arial" w:eastAsia="宋体"/>
          <w:bCs/>
          <w:sz w:val="20"/>
          <w:lang w:val="en-US" w:eastAsia="zh-CN"/>
        </w:rPr>
        <w:t>] R4-2405935, Improved harmonic related MSDs template, Skyworks Solutions Inc.</w:t>
      </w:r>
    </w:p>
    <w:p>
      <w:pPr>
        <w:keepNext/>
        <w:keepLines/>
        <w:rPr>
          <w:rFonts w:ascii="Arial" w:hAnsi="Arial" w:eastAsia="宋体"/>
          <w:bCs/>
          <w:sz w:val="20"/>
          <w:lang w:val="en-US" w:eastAsia="zh-CN"/>
        </w:rPr>
      </w:pPr>
      <w:r>
        <w:rPr>
          <w:rFonts w:hint="eastAsia" w:ascii="Arial" w:hAnsi="Arial" w:eastAsia="宋体"/>
          <w:bCs/>
          <w:sz w:val="20"/>
          <w:lang w:val="en-US" w:eastAsia="zh-CN"/>
        </w:rPr>
        <w:t xml:space="preserve">[3] </w:t>
      </w:r>
      <w:r>
        <w:rPr>
          <w:rFonts w:ascii="Arial" w:hAnsi="Arial" w:eastAsia="宋体"/>
          <w:bCs/>
          <w:sz w:val="20"/>
          <w:lang w:val="en-US" w:eastAsia="zh-CN"/>
        </w:rPr>
        <w:t>R4-2408359</w:t>
      </w:r>
      <w:r>
        <w:rPr>
          <w:rFonts w:ascii="Arial" w:hAnsi="Arial" w:eastAsia="宋体"/>
          <w:bCs/>
          <w:sz w:val="20"/>
          <w:lang w:val="en-US" w:eastAsia="zh-CN"/>
        </w:rPr>
        <w:tab/>
      </w:r>
      <w:r>
        <w:rPr>
          <w:rFonts w:ascii="Arial" w:hAnsi="Arial" w:eastAsia="宋体"/>
          <w:bCs/>
          <w:sz w:val="20"/>
          <w:lang w:val="en-US" w:eastAsia="zh-CN"/>
        </w:rPr>
        <w:t>Improved R19 TR templates for PC3 xUL/2DL inter-band NR CA/DC</w:t>
      </w:r>
      <w:r>
        <w:rPr>
          <w:rFonts w:hint="eastAsia" w:ascii="Arial" w:hAnsi="Arial" w:eastAsia="宋体"/>
          <w:bCs/>
          <w:sz w:val="20"/>
          <w:lang w:val="en-US" w:eastAsia="zh-CN"/>
        </w:rPr>
        <w:t xml:space="preserve">, </w:t>
      </w:r>
      <w:r>
        <w:rPr>
          <w:rFonts w:ascii="Arial" w:hAnsi="Arial" w:eastAsia="宋体"/>
          <w:bCs/>
          <w:sz w:val="20"/>
          <w:lang w:val="en-US" w:eastAsia="zh-CN"/>
        </w:rPr>
        <w:t>ZTE Corporation, Sanechips</w:t>
      </w:r>
    </w:p>
    <w:p>
      <w:pPr>
        <w:keepNext/>
        <w:keepLines/>
        <w:rPr>
          <w:rFonts w:ascii="Arial" w:hAnsi="Arial" w:eastAsia="宋体"/>
          <w:bCs/>
          <w:sz w:val="20"/>
          <w:lang w:val="en-US" w:eastAsia="zh-CN"/>
        </w:rPr>
      </w:pPr>
      <w:r>
        <w:rPr>
          <w:rFonts w:hint="eastAsia" w:ascii="Arial" w:hAnsi="Arial" w:eastAsia="宋体"/>
          <w:bCs/>
          <w:sz w:val="20"/>
          <w:lang w:val="en-US" w:eastAsia="zh-CN"/>
        </w:rPr>
        <w:t xml:space="preserve">[4] </w:t>
      </w:r>
      <w:r>
        <w:rPr>
          <w:rFonts w:ascii="Arial" w:hAnsi="Arial" w:eastAsia="宋体"/>
          <w:bCs/>
          <w:sz w:val="20"/>
          <w:lang w:val="en-US" w:eastAsia="zh-CN"/>
        </w:rPr>
        <w:t>R4-2407231</w:t>
      </w:r>
      <w:r>
        <w:rPr>
          <w:rFonts w:ascii="Arial" w:hAnsi="Arial" w:eastAsia="宋体"/>
          <w:bCs/>
          <w:sz w:val="20"/>
          <w:lang w:val="en-US" w:eastAsia="zh-CN"/>
        </w:rPr>
        <w:tab/>
      </w:r>
      <w:r>
        <w:rPr>
          <w:rFonts w:ascii="Arial" w:hAnsi="Arial" w:eastAsia="宋体"/>
          <w:bCs/>
          <w:sz w:val="20"/>
          <w:lang w:val="en-US" w:eastAsia="zh-CN"/>
        </w:rPr>
        <w:t>Template for 2 band DL 1or2 band UL inter-band combination TR and TP</w:t>
      </w:r>
      <w:r>
        <w:rPr>
          <w:rFonts w:ascii="Arial" w:hAnsi="Arial" w:eastAsia="宋体"/>
          <w:bCs/>
          <w:sz w:val="20"/>
          <w:lang w:val="en-US" w:eastAsia="zh-CN"/>
        </w:rPr>
        <w:tab/>
      </w:r>
      <w:r>
        <w:rPr>
          <w:rFonts w:ascii="Arial" w:hAnsi="Arial" w:eastAsia="宋体"/>
          <w:bCs/>
          <w:sz w:val="20"/>
          <w:lang w:val="en-US" w:eastAsia="zh-CN"/>
        </w:rPr>
        <w:t>Skyworks Solutions Inc., Nokia</w:t>
      </w:r>
    </w:p>
    <w:p>
      <w:pPr>
        <w:keepNext/>
        <w:keepLines/>
        <w:rPr>
          <w:rFonts w:ascii="Arial" w:hAnsi="Arial" w:eastAsia="宋体"/>
          <w:bCs/>
          <w:sz w:val="20"/>
          <w:lang w:val="en-US" w:eastAsia="zh-CN"/>
        </w:rPr>
      </w:pPr>
      <w:r>
        <w:rPr>
          <w:rFonts w:hint="eastAsia" w:ascii="Arial" w:hAnsi="Arial" w:eastAsia="宋体"/>
          <w:bCs/>
          <w:sz w:val="20"/>
          <w:lang w:val="en-US" w:eastAsia="zh-CN"/>
        </w:rPr>
        <w:t xml:space="preserve">[5] </w:t>
      </w:r>
      <w:r>
        <w:rPr>
          <w:rFonts w:ascii="Arial" w:hAnsi="Arial" w:eastAsia="宋体"/>
          <w:bCs/>
          <w:sz w:val="20"/>
          <w:lang w:val="en-US" w:eastAsia="zh-CN"/>
        </w:rPr>
        <w:t>R4-2409318</w:t>
      </w:r>
      <w:r>
        <w:rPr>
          <w:rFonts w:ascii="Arial" w:hAnsi="Arial" w:eastAsia="宋体"/>
          <w:bCs/>
          <w:sz w:val="20"/>
          <w:lang w:val="en-US" w:eastAsia="zh-CN"/>
        </w:rPr>
        <w:tab/>
      </w:r>
      <w:r>
        <w:rPr>
          <w:rFonts w:ascii="Arial" w:hAnsi="Arial" w:eastAsia="宋体"/>
          <w:bCs/>
          <w:sz w:val="20"/>
          <w:lang w:val="en-US" w:eastAsia="zh-CN"/>
        </w:rPr>
        <w:t>Discussion on TR template for band combination basket WI</w:t>
      </w:r>
      <w:r>
        <w:rPr>
          <w:rFonts w:ascii="Arial" w:hAnsi="Arial" w:eastAsia="宋体"/>
          <w:bCs/>
          <w:sz w:val="20"/>
          <w:lang w:val="en-US" w:eastAsia="zh-CN"/>
        </w:rPr>
        <w:tab/>
      </w:r>
      <w:r>
        <w:rPr>
          <w:rFonts w:ascii="Arial" w:hAnsi="Arial" w:eastAsia="宋体"/>
          <w:bCs/>
          <w:sz w:val="20"/>
          <w:lang w:val="en-US" w:eastAsia="zh-CN"/>
        </w:rPr>
        <w:t>Huawei, HiSilicon</w:t>
      </w:r>
    </w:p>
    <w:p>
      <w:pPr>
        <w:keepNext/>
        <w:keepLines/>
        <w:rPr>
          <w:rFonts w:ascii="Arial" w:hAnsi="Arial" w:eastAsia="宋体"/>
          <w:bCs/>
          <w:sz w:val="20"/>
          <w:lang w:val="en-US" w:eastAsia="en-GB"/>
        </w:rPr>
      </w:pPr>
      <w:r>
        <w:rPr>
          <w:rFonts w:hint="eastAsia" w:ascii="Arial" w:hAnsi="Arial" w:eastAsia="宋体"/>
          <w:bCs/>
          <w:sz w:val="20"/>
          <w:lang w:val="en-US" w:eastAsia="zh-CN"/>
        </w:rPr>
        <w:t xml:space="preserve">[6] </w:t>
      </w:r>
      <w:r>
        <w:rPr>
          <w:rFonts w:hint="eastAsia" w:ascii="Arial" w:hAnsi="Arial" w:eastAsia="宋体"/>
          <w:bCs/>
          <w:sz w:val="20"/>
          <w:lang w:val="en-US" w:eastAsia="en-GB"/>
        </w:rPr>
        <w:t>R4-2410650</w:t>
      </w:r>
      <w:r>
        <w:rPr>
          <w:rFonts w:hint="eastAsia" w:ascii="Arial" w:hAnsi="Arial" w:eastAsia="宋体"/>
          <w:bCs/>
          <w:sz w:val="20"/>
          <w:lang w:val="en-US" w:eastAsia="zh-CN"/>
        </w:rPr>
        <w:t xml:space="preserve">, </w:t>
      </w:r>
      <w:r>
        <w:rPr>
          <w:rFonts w:hint="eastAsia" w:ascii="Arial" w:hAnsi="Arial" w:eastAsia="宋体"/>
          <w:bCs/>
          <w:sz w:val="20"/>
          <w:lang w:val="en-US" w:eastAsia="en-GB"/>
        </w:rPr>
        <w:t>Ad hoc minutes on [111][105] NR_Baskets_Part_1</w:t>
      </w:r>
      <w:r>
        <w:rPr>
          <w:rFonts w:hint="eastAsia" w:ascii="Arial" w:hAnsi="Arial" w:eastAsia="宋体"/>
          <w:bCs/>
          <w:sz w:val="20"/>
          <w:lang w:val="en-US" w:eastAsia="zh-CN"/>
        </w:rPr>
        <w:t xml:space="preserve">, </w:t>
      </w:r>
      <w:r>
        <w:rPr>
          <w:rFonts w:hint="eastAsia" w:ascii="Arial" w:hAnsi="Arial" w:eastAsia="宋体"/>
          <w:bCs/>
          <w:sz w:val="20"/>
          <w:lang w:val="en-US" w:eastAsia="en-GB"/>
        </w:rPr>
        <w:t>Skyworks</w:t>
      </w:r>
    </w:p>
    <w:p>
      <w:pPr>
        <w:keepNext/>
        <w:keepLines/>
        <w:rPr>
          <w:rFonts w:ascii="Arial" w:hAnsi="Arial" w:eastAsia="宋体"/>
          <w:bCs/>
          <w:sz w:val="20"/>
          <w:lang w:val="en-US" w:eastAsia="zh-CN"/>
        </w:rPr>
      </w:pPr>
    </w:p>
    <w:p>
      <w:pPr>
        <w:keepNext/>
        <w:keepLines/>
        <w:rPr>
          <w:rFonts w:ascii="Arial" w:hAnsi="Arial" w:eastAsia="宋体"/>
          <w:bCs/>
          <w:sz w:val="20"/>
          <w:lang w:val="en-US" w:eastAsia="zh-CN"/>
        </w:rPr>
      </w:pPr>
    </w:p>
    <w:p>
      <w:pPr>
        <w:keepNext/>
        <w:keepLines/>
        <w:rPr>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93523F"/>
    <w:multiLevelType w:val="singleLevel"/>
    <w:tmpl w:val="8093523F"/>
    <w:lvl w:ilvl="0" w:tentative="0">
      <w:start w:val="1"/>
      <w:numFmt w:val="bullet"/>
      <w:lvlText w:val="-"/>
      <w:lvlJc w:val="left"/>
      <w:pPr>
        <w:ind w:left="420" w:hanging="420"/>
      </w:pPr>
      <w:rPr>
        <w:rFonts w:hint="default" w:ascii="Arial" w:hAnsi="Arial" w:cs="Arial"/>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BDF0ED7"/>
    <w:multiLevelType w:val="multilevel"/>
    <w:tmpl w:val="3BDF0ED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270B678"/>
    <w:multiLevelType w:val="singleLevel"/>
    <w:tmpl w:val="5270B678"/>
    <w:lvl w:ilvl="0" w:tentative="0">
      <w:start w:val="1"/>
      <w:numFmt w:val="bullet"/>
      <w:lvlText w:val="-"/>
      <w:lvlJc w:val="left"/>
      <w:pPr>
        <w:ind w:left="420" w:hanging="420"/>
      </w:pPr>
      <w:rPr>
        <w:rFonts w:hint="default" w:ascii="Arial" w:hAnsi="Arial" w:cs="Arial"/>
      </w:rPr>
    </w:lvl>
  </w:abstractNum>
  <w:abstractNum w:abstractNumId="9">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10"/>
  </w:num>
  <w:num w:numId="2">
    <w:abstractNumId w:val="4"/>
  </w:num>
  <w:num w:numId="3">
    <w:abstractNumId w:val="3"/>
  </w:num>
  <w:num w:numId="4">
    <w:abstractNumId w:val="2"/>
  </w:num>
  <w:num w:numId="5">
    <w:abstractNumId w:val="1"/>
  </w:num>
  <w:num w:numId="6">
    <w:abstractNumId w:val="12"/>
  </w:num>
  <w:num w:numId="7">
    <w:abstractNumId w:val="13"/>
  </w:num>
  <w:num w:numId="8">
    <w:abstractNumId w:val="9"/>
  </w:num>
  <w:num w:numId="9">
    <w:abstractNumId w:val="7"/>
  </w:num>
  <w:num w:numId="10">
    <w:abstractNumId w:val="11"/>
  </w:num>
  <w:num w:numId="11">
    <w:abstractNumId w:val="5"/>
  </w:num>
  <w:num w:numId="12">
    <w:abstractNumId w:val="8"/>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4D0"/>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2F5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4AE"/>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47"/>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0E1"/>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4D34"/>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54F"/>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A54"/>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0C07"/>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A99"/>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1C1"/>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45"/>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6B5"/>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3F9"/>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62"/>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23A"/>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9D70A5"/>
    <w:rsid w:val="019F2E6A"/>
    <w:rsid w:val="01AF201F"/>
    <w:rsid w:val="01B4438B"/>
    <w:rsid w:val="01B709C9"/>
    <w:rsid w:val="01C50E86"/>
    <w:rsid w:val="01C511DF"/>
    <w:rsid w:val="01D36C5D"/>
    <w:rsid w:val="01E90298"/>
    <w:rsid w:val="01EC3F8F"/>
    <w:rsid w:val="01F330D1"/>
    <w:rsid w:val="020172B6"/>
    <w:rsid w:val="02067EC7"/>
    <w:rsid w:val="020B7534"/>
    <w:rsid w:val="0222694D"/>
    <w:rsid w:val="022F771F"/>
    <w:rsid w:val="02465A49"/>
    <w:rsid w:val="025746B9"/>
    <w:rsid w:val="028B4239"/>
    <w:rsid w:val="028D3C25"/>
    <w:rsid w:val="02A7730B"/>
    <w:rsid w:val="02AF1E84"/>
    <w:rsid w:val="02B1756B"/>
    <w:rsid w:val="02C33C02"/>
    <w:rsid w:val="02C645C9"/>
    <w:rsid w:val="02C83673"/>
    <w:rsid w:val="02CA0CA9"/>
    <w:rsid w:val="03154FEA"/>
    <w:rsid w:val="031E0246"/>
    <w:rsid w:val="034E5CB1"/>
    <w:rsid w:val="0373710A"/>
    <w:rsid w:val="039C165A"/>
    <w:rsid w:val="03B25159"/>
    <w:rsid w:val="03B434C5"/>
    <w:rsid w:val="03C7743F"/>
    <w:rsid w:val="03CC09A8"/>
    <w:rsid w:val="03D00925"/>
    <w:rsid w:val="03D463D3"/>
    <w:rsid w:val="040B47CC"/>
    <w:rsid w:val="041061E6"/>
    <w:rsid w:val="041419C6"/>
    <w:rsid w:val="041C7390"/>
    <w:rsid w:val="043003A6"/>
    <w:rsid w:val="04403BEF"/>
    <w:rsid w:val="044F0570"/>
    <w:rsid w:val="04523CE4"/>
    <w:rsid w:val="045862CA"/>
    <w:rsid w:val="0469142B"/>
    <w:rsid w:val="046B5396"/>
    <w:rsid w:val="047A2EAB"/>
    <w:rsid w:val="048113E4"/>
    <w:rsid w:val="04B057C9"/>
    <w:rsid w:val="04BC3811"/>
    <w:rsid w:val="04C07CF5"/>
    <w:rsid w:val="04D60E7B"/>
    <w:rsid w:val="04E75F8D"/>
    <w:rsid w:val="04EE7DD5"/>
    <w:rsid w:val="04F060F1"/>
    <w:rsid w:val="04F5217B"/>
    <w:rsid w:val="04FC6E08"/>
    <w:rsid w:val="05001B61"/>
    <w:rsid w:val="051762D5"/>
    <w:rsid w:val="051C43FD"/>
    <w:rsid w:val="0528285F"/>
    <w:rsid w:val="0535306B"/>
    <w:rsid w:val="053B103A"/>
    <w:rsid w:val="053F1BC2"/>
    <w:rsid w:val="0543094B"/>
    <w:rsid w:val="055D4C1C"/>
    <w:rsid w:val="05716728"/>
    <w:rsid w:val="058F48A1"/>
    <w:rsid w:val="05B44A3A"/>
    <w:rsid w:val="05CD6034"/>
    <w:rsid w:val="05FE1057"/>
    <w:rsid w:val="06011110"/>
    <w:rsid w:val="0625142B"/>
    <w:rsid w:val="063C6348"/>
    <w:rsid w:val="063E0281"/>
    <w:rsid w:val="065F58C9"/>
    <w:rsid w:val="06757493"/>
    <w:rsid w:val="068C5083"/>
    <w:rsid w:val="06A74C45"/>
    <w:rsid w:val="06A959A5"/>
    <w:rsid w:val="06AE27B0"/>
    <w:rsid w:val="06B11526"/>
    <w:rsid w:val="06C411F2"/>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4302E"/>
    <w:rsid w:val="07DD190B"/>
    <w:rsid w:val="07E82714"/>
    <w:rsid w:val="07EC78AA"/>
    <w:rsid w:val="07FE7B91"/>
    <w:rsid w:val="08031E49"/>
    <w:rsid w:val="08112D2A"/>
    <w:rsid w:val="081232C8"/>
    <w:rsid w:val="08370E94"/>
    <w:rsid w:val="084F4159"/>
    <w:rsid w:val="085419B8"/>
    <w:rsid w:val="08772792"/>
    <w:rsid w:val="0888525A"/>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C8038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2812DC"/>
    <w:rsid w:val="0C2C1F34"/>
    <w:rsid w:val="0C4026C7"/>
    <w:rsid w:val="0C420C93"/>
    <w:rsid w:val="0C707397"/>
    <w:rsid w:val="0C8C5888"/>
    <w:rsid w:val="0CAC1A2E"/>
    <w:rsid w:val="0CBA1B7C"/>
    <w:rsid w:val="0CD034B7"/>
    <w:rsid w:val="0D24542A"/>
    <w:rsid w:val="0D464799"/>
    <w:rsid w:val="0D58557A"/>
    <w:rsid w:val="0D5B6307"/>
    <w:rsid w:val="0D781D27"/>
    <w:rsid w:val="0D850546"/>
    <w:rsid w:val="0DB44B45"/>
    <w:rsid w:val="0DC0796E"/>
    <w:rsid w:val="0DDD16AB"/>
    <w:rsid w:val="0DEF5C3D"/>
    <w:rsid w:val="0E245631"/>
    <w:rsid w:val="0E2E2443"/>
    <w:rsid w:val="0E3B5DEC"/>
    <w:rsid w:val="0E5A3383"/>
    <w:rsid w:val="0E5C4783"/>
    <w:rsid w:val="0E5F7319"/>
    <w:rsid w:val="0E614B6D"/>
    <w:rsid w:val="0E6C5826"/>
    <w:rsid w:val="0E8D4417"/>
    <w:rsid w:val="0E8E1FE9"/>
    <w:rsid w:val="0E9F06E1"/>
    <w:rsid w:val="0EF34327"/>
    <w:rsid w:val="0EF422C9"/>
    <w:rsid w:val="0EF861E8"/>
    <w:rsid w:val="0EFC3C22"/>
    <w:rsid w:val="0F2002F6"/>
    <w:rsid w:val="0F24342D"/>
    <w:rsid w:val="0F2B7865"/>
    <w:rsid w:val="0F2C0C54"/>
    <w:rsid w:val="0F2F36F1"/>
    <w:rsid w:val="0F3C50B2"/>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A5DF7"/>
    <w:rsid w:val="10BD70BB"/>
    <w:rsid w:val="10D27910"/>
    <w:rsid w:val="10D36B02"/>
    <w:rsid w:val="10D804CD"/>
    <w:rsid w:val="10D92C89"/>
    <w:rsid w:val="10E1380F"/>
    <w:rsid w:val="10E8572B"/>
    <w:rsid w:val="10F2644A"/>
    <w:rsid w:val="10F541D3"/>
    <w:rsid w:val="111607B9"/>
    <w:rsid w:val="11217AFA"/>
    <w:rsid w:val="112A3A59"/>
    <w:rsid w:val="113372C1"/>
    <w:rsid w:val="11401790"/>
    <w:rsid w:val="11416DC0"/>
    <w:rsid w:val="114A2896"/>
    <w:rsid w:val="114E6F40"/>
    <w:rsid w:val="1152629D"/>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B5FE8"/>
    <w:rsid w:val="128E3FEF"/>
    <w:rsid w:val="12C1294C"/>
    <w:rsid w:val="12C24246"/>
    <w:rsid w:val="12CE66A4"/>
    <w:rsid w:val="13131FEF"/>
    <w:rsid w:val="133763C2"/>
    <w:rsid w:val="133A1558"/>
    <w:rsid w:val="133B1420"/>
    <w:rsid w:val="134514D1"/>
    <w:rsid w:val="13554396"/>
    <w:rsid w:val="135717FB"/>
    <w:rsid w:val="13615C6A"/>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227ED8"/>
    <w:rsid w:val="16464904"/>
    <w:rsid w:val="16472167"/>
    <w:rsid w:val="16605EE4"/>
    <w:rsid w:val="16754999"/>
    <w:rsid w:val="16777A5E"/>
    <w:rsid w:val="16784ADB"/>
    <w:rsid w:val="168D55EB"/>
    <w:rsid w:val="16974166"/>
    <w:rsid w:val="16A54285"/>
    <w:rsid w:val="16C86978"/>
    <w:rsid w:val="16E1369D"/>
    <w:rsid w:val="170A10B4"/>
    <w:rsid w:val="17115C81"/>
    <w:rsid w:val="17173292"/>
    <w:rsid w:val="171A06BE"/>
    <w:rsid w:val="17451CE5"/>
    <w:rsid w:val="176A163F"/>
    <w:rsid w:val="176B7D0B"/>
    <w:rsid w:val="177237EC"/>
    <w:rsid w:val="177F79AB"/>
    <w:rsid w:val="17815359"/>
    <w:rsid w:val="17841FF9"/>
    <w:rsid w:val="178A30B7"/>
    <w:rsid w:val="178E7059"/>
    <w:rsid w:val="178F1BEE"/>
    <w:rsid w:val="17A62357"/>
    <w:rsid w:val="18067DA9"/>
    <w:rsid w:val="18137D05"/>
    <w:rsid w:val="183A07A8"/>
    <w:rsid w:val="1857551B"/>
    <w:rsid w:val="187B73E2"/>
    <w:rsid w:val="18B04964"/>
    <w:rsid w:val="18C4340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7229C"/>
    <w:rsid w:val="1A4D7346"/>
    <w:rsid w:val="1A5449AB"/>
    <w:rsid w:val="1A6B141C"/>
    <w:rsid w:val="1A771559"/>
    <w:rsid w:val="1A983808"/>
    <w:rsid w:val="1A9D6108"/>
    <w:rsid w:val="1AB03CC2"/>
    <w:rsid w:val="1AB72EAB"/>
    <w:rsid w:val="1ACE1E6B"/>
    <w:rsid w:val="1AED09AE"/>
    <w:rsid w:val="1AFC53AF"/>
    <w:rsid w:val="1B16227E"/>
    <w:rsid w:val="1B431600"/>
    <w:rsid w:val="1B453C41"/>
    <w:rsid w:val="1B5C78BD"/>
    <w:rsid w:val="1B624084"/>
    <w:rsid w:val="1B65312A"/>
    <w:rsid w:val="1B6811DE"/>
    <w:rsid w:val="1B77206A"/>
    <w:rsid w:val="1B782BCC"/>
    <w:rsid w:val="1B7E47EF"/>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AD271D"/>
    <w:rsid w:val="1DB34D0F"/>
    <w:rsid w:val="1DB626C1"/>
    <w:rsid w:val="1DF1190C"/>
    <w:rsid w:val="1E17373F"/>
    <w:rsid w:val="1E2654D1"/>
    <w:rsid w:val="1E5B07BE"/>
    <w:rsid w:val="1E5D1B24"/>
    <w:rsid w:val="1E5E1199"/>
    <w:rsid w:val="1E5E6324"/>
    <w:rsid w:val="1E63092D"/>
    <w:rsid w:val="1E826FA6"/>
    <w:rsid w:val="1E836263"/>
    <w:rsid w:val="1E9574BE"/>
    <w:rsid w:val="1EA002EB"/>
    <w:rsid w:val="1EB1173C"/>
    <w:rsid w:val="1EB15399"/>
    <w:rsid w:val="1EB52098"/>
    <w:rsid w:val="1F005142"/>
    <w:rsid w:val="1F0F10C1"/>
    <w:rsid w:val="1F0F7B70"/>
    <w:rsid w:val="1F183211"/>
    <w:rsid w:val="1F231F96"/>
    <w:rsid w:val="1F323506"/>
    <w:rsid w:val="1F331181"/>
    <w:rsid w:val="1F4A6DF5"/>
    <w:rsid w:val="1F5813D2"/>
    <w:rsid w:val="1F60157E"/>
    <w:rsid w:val="1F76472A"/>
    <w:rsid w:val="1F7E4D57"/>
    <w:rsid w:val="1F975093"/>
    <w:rsid w:val="1FA1055C"/>
    <w:rsid w:val="1FAC7F66"/>
    <w:rsid w:val="1FBC7012"/>
    <w:rsid w:val="1FC5350C"/>
    <w:rsid w:val="1FC61EC7"/>
    <w:rsid w:val="1FD11416"/>
    <w:rsid w:val="1FE40327"/>
    <w:rsid w:val="1FE45D99"/>
    <w:rsid w:val="20345622"/>
    <w:rsid w:val="20435E57"/>
    <w:rsid w:val="20552BDB"/>
    <w:rsid w:val="20564B8F"/>
    <w:rsid w:val="205E0B95"/>
    <w:rsid w:val="205E374F"/>
    <w:rsid w:val="206879B8"/>
    <w:rsid w:val="206C0477"/>
    <w:rsid w:val="206D7484"/>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33486"/>
    <w:rsid w:val="21771C16"/>
    <w:rsid w:val="219815F2"/>
    <w:rsid w:val="21CE0576"/>
    <w:rsid w:val="21EF0091"/>
    <w:rsid w:val="21F85958"/>
    <w:rsid w:val="2213026A"/>
    <w:rsid w:val="221E547D"/>
    <w:rsid w:val="225C2AA5"/>
    <w:rsid w:val="226E201A"/>
    <w:rsid w:val="2290031C"/>
    <w:rsid w:val="22935752"/>
    <w:rsid w:val="22C0597E"/>
    <w:rsid w:val="22D8475F"/>
    <w:rsid w:val="22DF480D"/>
    <w:rsid w:val="22E8324A"/>
    <w:rsid w:val="22F0060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3F50938"/>
    <w:rsid w:val="24006C22"/>
    <w:rsid w:val="241C3A73"/>
    <w:rsid w:val="24325EF1"/>
    <w:rsid w:val="243704CB"/>
    <w:rsid w:val="245B1403"/>
    <w:rsid w:val="246C1675"/>
    <w:rsid w:val="247A6A08"/>
    <w:rsid w:val="247C090B"/>
    <w:rsid w:val="248033C0"/>
    <w:rsid w:val="24AC606F"/>
    <w:rsid w:val="24BB0446"/>
    <w:rsid w:val="24C24A66"/>
    <w:rsid w:val="24C25475"/>
    <w:rsid w:val="24C41FE1"/>
    <w:rsid w:val="24D47AE6"/>
    <w:rsid w:val="24D973A2"/>
    <w:rsid w:val="24DF1CC7"/>
    <w:rsid w:val="24E22CDA"/>
    <w:rsid w:val="24EC21D5"/>
    <w:rsid w:val="24F82A34"/>
    <w:rsid w:val="24FC6EA4"/>
    <w:rsid w:val="250061F0"/>
    <w:rsid w:val="2505287D"/>
    <w:rsid w:val="250A4E42"/>
    <w:rsid w:val="25272BCC"/>
    <w:rsid w:val="25326B58"/>
    <w:rsid w:val="253751EF"/>
    <w:rsid w:val="253F159B"/>
    <w:rsid w:val="25686BB2"/>
    <w:rsid w:val="25915E2B"/>
    <w:rsid w:val="25A74777"/>
    <w:rsid w:val="25AD6C61"/>
    <w:rsid w:val="25B24600"/>
    <w:rsid w:val="25B60A97"/>
    <w:rsid w:val="25C045AD"/>
    <w:rsid w:val="25C4457F"/>
    <w:rsid w:val="25D31C77"/>
    <w:rsid w:val="25D41C93"/>
    <w:rsid w:val="25D672A7"/>
    <w:rsid w:val="25E44C07"/>
    <w:rsid w:val="25E46C41"/>
    <w:rsid w:val="25E477B1"/>
    <w:rsid w:val="25F659EA"/>
    <w:rsid w:val="26161DDE"/>
    <w:rsid w:val="2617142A"/>
    <w:rsid w:val="26216AA3"/>
    <w:rsid w:val="262C444A"/>
    <w:rsid w:val="26426D7F"/>
    <w:rsid w:val="2667680E"/>
    <w:rsid w:val="26974AD3"/>
    <w:rsid w:val="26991AB0"/>
    <w:rsid w:val="26BF01D9"/>
    <w:rsid w:val="26C02D85"/>
    <w:rsid w:val="26CA54EE"/>
    <w:rsid w:val="26DF3352"/>
    <w:rsid w:val="26E162F3"/>
    <w:rsid w:val="26FC1A0C"/>
    <w:rsid w:val="27133F7E"/>
    <w:rsid w:val="27154970"/>
    <w:rsid w:val="271F2CAF"/>
    <w:rsid w:val="27225C7F"/>
    <w:rsid w:val="272475EB"/>
    <w:rsid w:val="272B08C7"/>
    <w:rsid w:val="273C4261"/>
    <w:rsid w:val="275C32A8"/>
    <w:rsid w:val="275F1CD8"/>
    <w:rsid w:val="276E1F9F"/>
    <w:rsid w:val="278B121B"/>
    <w:rsid w:val="279651AD"/>
    <w:rsid w:val="279D6589"/>
    <w:rsid w:val="27AF7A13"/>
    <w:rsid w:val="27B13E29"/>
    <w:rsid w:val="27B66B96"/>
    <w:rsid w:val="27C23419"/>
    <w:rsid w:val="27DB3F00"/>
    <w:rsid w:val="28117017"/>
    <w:rsid w:val="2843469E"/>
    <w:rsid w:val="28475436"/>
    <w:rsid w:val="28496A93"/>
    <w:rsid w:val="284E6AEC"/>
    <w:rsid w:val="285312E8"/>
    <w:rsid w:val="28755E9D"/>
    <w:rsid w:val="287C5BD0"/>
    <w:rsid w:val="287E015C"/>
    <w:rsid w:val="288E5A59"/>
    <w:rsid w:val="28D348D4"/>
    <w:rsid w:val="28EC15EA"/>
    <w:rsid w:val="28EE5D72"/>
    <w:rsid w:val="28F16ECE"/>
    <w:rsid w:val="28F72560"/>
    <w:rsid w:val="290757E5"/>
    <w:rsid w:val="29197527"/>
    <w:rsid w:val="2923202A"/>
    <w:rsid w:val="292E3601"/>
    <w:rsid w:val="293B1A7D"/>
    <w:rsid w:val="29665994"/>
    <w:rsid w:val="296C46D1"/>
    <w:rsid w:val="29825F7C"/>
    <w:rsid w:val="29881CD0"/>
    <w:rsid w:val="29BF7F4F"/>
    <w:rsid w:val="29C84863"/>
    <w:rsid w:val="2A04072B"/>
    <w:rsid w:val="2A0E1DB2"/>
    <w:rsid w:val="2A9647F6"/>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03B97"/>
    <w:rsid w:val="2BD25792"/>
    <w:rsid w:val="2C1C09DF"/>
    <w:rsid w:val="2C2A62E5"/>
    <w:rsid w:val="2C2A7423"/>
    <w:rsid w:val="2C472144"/>
    <w:rsid w:val="2C4A6A13"/>
    <w:rsid w:val="2C4C1061"/>
    <w:rsid w:val="2C565ECC"/>
    <w:rsid w:val="2C5E651A"/>
    <w:rsid w:val="2C732509"/>
    <w:rsid w:val="2C874DFF"/>
    <w:rsid w:val="2C8C5641"/>
    <w:rsid w:val="2CA00043"/>
    <w:rsid w:val="2CA877B4"/>
    <w:rsid w:val="2CAC489B"/>
    <w:rsid w:val="2CE357A6"/>
    <w:rsid w:val="2CF94F3A"/>
    <w:rsid w:val="2CFD21AB"/>
    <w:rsid w:val="2D044A62"/>
    <w:rsid w:val="2D11435D"/>
    <w:rsid w:val="2D1F2616"/>
    <w:rsid w:val="2D3C3F9A"/>
    <w:rsid w:val="2D6163AF"/>
    <w:rsid w:val="2D6D564E"/>
    <w:rsid w:val="2D703C0F"/>
    <w:rsid w:val="2D75565E"/>
    <w:rsid w:val="2D850ABB"/>
    <w:rsid w:val="2D995D2E"/>
    <w:rsid w:val="2DA428AB"/>
    <w:rsid w:val="2DAD0E30"/>
    <w:rsid w:val="2DBC65AB"/>
    <w:rsid w:val="2DC00AF3"/>
    <w:rsid w:val="2DC35E47"/>
    <w:rsid w:val="2DD47195"/>
    <w:rsid w:val="2DD571AC"/>
    <w:rsid w:val="2DE1543C"/>
    <w:rsid w:val="2DE55694"/>
    <w:rsid w:val="2DF53694"/>
    <w:rsid w:val="2E0C1D04"/>
    <w:rsid w:val="2E1E38A5"/>
    <w:rsid w:val="2E2B03BD"/>
    <w:rsid w:val="2E3C7CE1"/>
    <w:rsid w:val="2E473467"/>
    <w:rsid w:val="2E8F0FAC"/>
    <w:rsid w:val="2E8F4CEC"/>
    <w:rsid w:val="2E935D9F"/>
    <w:rsid w:val="2E991ECF"/>
    <w:rsid w:val="2EA27B47"/>
    <w:rsid w:val="2EA3697B"/>
    <w:rsid w:val="2EAB6776"/>
    <w:rsid w:val="2EB83E10"/>
    <w:rsid w:val="2ECA505D"/>
    <w:rsid w:val="2ECD5827"/>
    <w:rsid w:val="2EDB2014"/>
    <w:rsid w:val="2EE66318"/>
    <w:rsid w:val="2EF4326C"/>
    <w:rsid w:val="2EF730A4"/>
    <w:rsid w:val="2EFD002C"/>
    <w:rsid w:val="2F057411"/>
    <w:rsid w:val="2F0E6118"/>
    <w:rsid w:val="2F340377"/>
    <w:rsid w:val="2F5423DE"/>
    <w:rsid w:val="2F872561"/>
    <w:rsid w:val="2F8D26A5"/>
    <w:rsid w:val="2FA41B2E"/>
    <w:rsid w:val="2FB86DDB"/>
    <w:rsid w:val="2FF01677"/>
    <w:rsid w:val="30134E24"/>
    <w:rsid w:val="301C5292"/>
    <w:rsid w:val="302625FA"/>
    <w:rsid w:val="302B6277"/>
    <w:rsid w:val="3032576D"/>
    <w:rsid w:val="30437826"/>
    <w:rsid w:val="30467FA9"/>
    <w:rsid w:val="30643F5E"/>
    <w:rsid w:val="306E629E"/>
    <w:rsid w:val="308309AF"/>
    <w:rsid w:val="3089097A"/>
    <w:rsid w:val="309C5B79"/>
    <w:rsid w:val="30AA0409"/>
    <w:rsid w:val="30AA5BC4"/>
    <w:rsid w:val="30B605A9"/>
    <w:rsid w:val="30B84058"/>
    <w:rsid w:val="30C1399F"/>
    <w:rsid w:val="30D249DD"/>
    <w:rsid w:val="30D63F45"/>
    <w:rsid w:val="30F821AD"/>
    <w:rsid w:val="30FE0428"/>
    <w:rsid w:val="31230B74"/>
    <w:rsid w:val="31261746"/>
    <w:rsid w:val="31477764"/>
    <w:rsid w:val="314F23D4"/>
    <w:rsid w:val="316A6253"/>
    <w:rsid w:val="316C08B1"/>
    <w:rsid w:val="316D7140"/>
    <w:rsid w:val="31731B44"/>
    <w:rsid w:val="317B024F"/>
    <w:rsid w:val="3191451F"/>
    <w:rsid w:val="31A2263C"/>
    <w:rsid w:val="31A6797A"/>
    <w:rsid w:val="31C75244"/>
    <w:rsid w:val="31D031C6"/>
    <w:rsid w:val="31D744B1"/>
    <w:rsid w:val="31D86F72"/>
    <w:rsid w:val="31E8537D"/>
    <w:rsid w:val="31EA0882"/>
    <w:rsid w:val="31F63E52"/>
    <w:rsid w:val="321108FB"/>
    <w:rsid w:val="32226C83"/>
    <w:rsid w:val="32271A3D"/>
    <w:rsid w:val="322B7F9E"/>
    <w:rsid w:val="32366D51"/>
    <w:rsid w:val="324814DD"/>
    <w:rsid w:val="324D57D7"/>
    <w:rsid w:val="324D685D"/>
    <w:rsid w:val="32630EC2"/>
    <w:rsid w:val="327F2A46"/>
    <w:rsid w:val="327F7691"/>
    <w:rsid w:val="32B0050B"/>
    <w:rsid w:val="32B9548C"/>
    <w:rsid w:val="32C44E2E"/>
    <w:rsid w:val="32C970A1"/>
    <w:rsid w:val="32D76E51"/>
    <w:rsid w:val="330B3285"/>
    <w:rsid w:val="331A0CC7"/>
    <w:rsid w:val="33354322"/>
    <w:rsid w:val="336E31AA"/>
    <w:rsid w:val="33801DDE"/>
    <w:rsid w:val="338031A5"/>
    <w:rsid w:val="33884734"/>
    <w:rsid w:val="339307A2"/>
    <w:rsid w:val="339665CD"/>
    <w:rsid w:val="33A12A97"/>
    <w:rsid w:val="33BE3660"/>
    <w:rsid w:val="33FB1A28"/>
    <w:rsid w:val="342233F7"/>
    <w:rsid w:val="34325EA0"/>
    <w:rsid w:val="3436151C"/>
    <w:rsid w:val="34365E44"/>
    <w:rsid w:val="343F5A19"/>
    <w:rsid w:val="3440066A"/>
    <w:rsid w:val="34484B00"/>
    <w:rsid w:val="344D0AC3"/>
    <w:rsid w:val="344E624C"/>
    <w:rsid w:val="34533C7D"/>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922933"/>
    <w:rsid w:val="35C01E52"/>
    <w:rsid w:val="35C8326A"/>
    <w:rsid w:val="35F14224"/>
    <w:rsid w:val="35FD451B"/>
    <w:rsid w:val="361075B5"/>
    <w:rsid w:val="3611044F"/>
    <w:rsid w:val="36134BEB"/>
    <w:rsid w:val="36194ABE"/>
    <w:rsid w:val="361E7508"/>
    <w:rsid w:val="36330B76"/>
    <w:rsid w:val="363E4AFE"/>
    <w:rsid w:val="364E609E"/>
    <w:rsid w:val="3653528C"/>
    <w:rsid w:val="36622B0A"/>
    <w:rsid w:val="36741911"/>
    <w:rsid w:val="36755DCA"/>
    <w:rsid w:val="36821FC5"/>
    <w:rsid w:val="368911D1"/>
    <w:rsid w:val="3692064E"/>
    <w:rsid w:val="36921705"/>
    <w:rsid w:val="36985717"/>
    <w:rsid w:val="36A078B4"/>
    <w:rsid w:val="36A921A3"/>
    <w:rsid w:val="36D1463D"/>
    <w:rsid w:val="36D651E9"/>
    <w:rsid w:val="36F04702"/>
    <w:rsid w:val="37081B00"/>
    <w:rsid w:val="370D193D"/>
    <w:rsid w:val="371F47DC"/>
    <w:rsid w:val="373B768B"/>
    <w:rsid w:val="37466280"/>
    <w:rsid w:val="374C2463"/>
    <w:rsid w:val="37575B17"/>
    <w:rsid w:val="37651380"/>
    <w:rsid w:val="37661B95"/>
    <w:rsid w:val="37855D26"/>
    <w:rsid w:val="379936AF"/>
    <w:rsid w:val="379F4ED0"/>
    <w:rsid w:val="37B96AC5"/>
    <w:rsid w:val="37CC5526"/>
    <w:rsid w:val="37D41AAD"/>
    <w:rsid w:val="37F820D5"/>
    <w:rsid w:val="381903E5"/>
    <w:rsid w:val="381D5227"/>
    <w:rsid w:val="383523B0"/>
    <w:rsid w:val="384301A7"/>
    <w:rsid w:val="384946D4"/>
    <w:rsid w:val="38595326"/>
    <w:rsid w:val="385D639B"/>
    <w:rsid w:val="385F299B"/>
    <w:rsid w:val="38777511"/>
    <w:rsid w:val="38965B97"/>
    <w:rsid w:val="38C30688"/>
    <w:rsid w:val="38D0192E"/>
    <w:rsid w:val="38FF6467"/>
    <w:rsid w:val="390814B8"/>
    <w:rsid w:val="391271FF"/>
    <w:rsid w:val="3920696A"/>
    <w:rsid w:val="393A2F9C"/>
    <w:rsid w:val="39511EDA"/>
    <w:rsid w:val="39565449"/>
    <w:rsid w:val="395709CD"/>
    <w:rsid w:val="397A2497"/>
    <w:rsid w:val="39820CD5"/>
    <w:rsid w:val="39A54CE1"/>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DE21D9"/>
    <w:rsid w:val="3AF161AE"/>
    <w:rsid w:val="3AFD3B87"/>
    <w:rsid w:val="3B05109C"/>
    <w:rsid w:val="3B0C46A7"/>
    <w:rsid w:val="3B154995"/>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CF83F78"/>
    <w:rsid w:val="3D0304D0"/>
    <w:rsid w:val="3D040DCD"/>
    <w:rsid w:val="3D0F0A98"/>
    <w:rsid w:val="3D1E2309"/>
    <w:rsid w:val="3D1F0176"/>
    <w:rsid w:val="3D390E2F"/>
    <w:rsid w:val="3D3A3E54"/>
    <w:rsid w:val="3D3A659B"/>
    <w:rsid w:val="3D405137"/>
    <w:rsid w:val="3D422640"/>
    <w:rsid w:val="3D651FF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8D0EE0"/>
    <w:rsid w:val="40A755C8"/>
    <w:rsid w:val="40B20024"/>
    <w:rsid w:val="40F2719E"/>
    <w:rsid w:val="41001A7A"/>
    <w:rsid w:val="410A61D6"/>
    <w:rsid w:val="412D14C3"/>
    <w:rsid w:val="413333ED"/>
    <w:rsid w:val="414B043C"/>
    <w:rsid w:val="414F04EC"/>
    <w:rsid w:val="4176372A"/>
    <w:rsid w:val="417A6FE5"/>
    <w:rsid w:val="41824677"/>
    <w:rsid w:val="41D42D41"/>
    <w:rsid w:val="41EC783C"/>
    <w:rsid w:val="41F958FA"/>
    <w:rsid w:val="41FC757A"/>
    <w:rsid w:val="423B22C1"/>
    <w:rsid w:val="42446956"/>
    <w:rsid w:val="4249368C"/>
    <w:rsid w:val="425A4CC6"/>
    <w:rsid w:val="42691284"/>
    <w:rsid w:val="42731A40"/>
    <w:rsid w:val="428137FC"/>
    <w:rsid w:val="42932C52"/>
    <w:rsid w:val="42A0635B"/>
    <w:rsid w:val="42A171BC"/>
    <w:rsid w:val="42C13ACA"/>
    <w:rsid w:val="42C17324"/>
    <w:rsid w:val="42DC33E6"/>
    <w:rsid w:val="42ED2437"/>
    <w:rsid w:val="42FA0F69"/>
    <w:rsid w:val="43124BF6"/>
    <w:rsid w:val="432655E1"/>
    <w:rsid w:val="43286990"/>
    <w:rsid w:val="433F238B"/>
    <w:rsid w:val="4349465A"/>
    <w:rsid w:val="434C64BC"/>
    <w:rsid w:val="437B4910"/>
    <w:rsid w:val="438576D3"/>
    <w:rsid w:val="43875D58"/>
    <w:rsid w:val="439E2A4B"/>
    <w:rsid w:val="43A40859"/>
    <w:rsid w:val="43AC65A2"/>
    <w:rsid w:val="43BB7FC3"/>
    <w:rsid w:val="43DF2B8D"/>
    <w:rsid w:val="43E12683"/>
    <w:rsid w:val="43E20C98"/>
    <w:rsid w:val="43E21272"/>
    <w:rsid w:val="43F57316"/>
    <w:rsid w:val="43F67C5B"/>
    <w:rsid w:val="43F97CBE"/>
    <w:rsid w:val="43FE0DEA"/>
    <w:rsid w:val="440110F8"/>
    <w:rsid w:val="440F7F4E"/>
    <w:rsid w:val="443C69AB"/>
    <w:rsid w:val="44472E30"/>
    <w:rsid w:val="444D0235"/>
    <w:rsid w:val="445417BF"/>
    <w:rsid w:val="4459017B"/>
    <w:rsid w:val="445D5269"/>
    <w:rsid w:val="44603D31"/>
    <w:rsid w:val="448F0456"/>
    <w:rsid w:val="44CE06BD"/>
    <w:rsid w:val="44D26951"/>
    <w:rsid w:val="44FD3643"/>
    <w:rsid w:val="450A0538"/>
    <w:rsid w:val="450D2286"/>
    <w:rsid w:val="45195D67"/>
    <w:rsid w:val="453D2F6D"/>
    <w:rsid w:val="45411594"/>
    <w:rsid w:val="455556ED"/>
    <w:rsid w:val="45670135"/>
    <w:rsid w:val="45726A64"/>
    <w:rsid w:val="457F4F50"/>
    <w:rsid w:val="458D1836"/>
    <w:rsid w:val="459A54E3"/>
    <w:rsid w:val="45B46C25"/>
    <w:rsid w:val="45D362AE"/>
    <w:rsid w:val="45E27AC6"/>
    <w:rsid w:val="45EC27D5"/>
    <w:rsid w:val="45F05899"/>
    <w:rsid w:val="45FC3332"/>
    <w:rsid w:val="460B4CE3"/>
    <w:rsid w:val="461C496C"/>
    <w:rsid w:val="461D2841"/>
    <w:rsid w:val="462979B1"/>
    <w:rsid w:val="466A2047"/>
    <w:rsid w:val="46773348"/>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059E"/>
    <w:rsid w:val="48541ACB"/>
    <w:rsid w:val="485F5D6F"/>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5F5841"/>
    <w:rsid w:val="499251F8"/>
    <w:rsid w:val="49B63C35"/>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404C3"/>
    <w:rsid w:val="4BA92D1C"/>
    <w:rsid w:val="4BAF6CE1"/>
    <w:rsid w:val="4BB04AD1"/>
    <w:rsid w:val="4BDE483F"/>
    <w:rsid w:val="4BEA7F84"/>
    <w:rsid w:val="4C027487"/>
    <w:rsid w:val="4C1A3C5B"/>
    <w:rsid w:val="4C2B6053"/>
    <w:rsid w:val="4C45657A"/>
    <w:rsid w:val="4C680D94"/>
    <w:rsid w:val="4C811CA9"/>
    <w:rsid w:val="4C9924E6"/>
    <w:rsid w:val="4CAA5EDE"/>
    <w:rsid w:val="4CD8542A"/>
    <w:rsid w:val="4CEC25BD"/>
    <w:rsid w:val="4CEF37EE"/>
    <w:rsid w:val="4CF603FD"/>
    <w:rsid w:val="4D091698"/>
    <w:rsid w:val="4D0E2020"/>
    <w:rsid w:val="4D1044EC"/>
    <w:rsid w:val="4D242605"/>
    <w:rsid w:val="4D310234"/>
    <w:rsid w:val="4D374C9E"/>
    <w:rsid w:val="4D42224F"/>
    <w:rsid w:val="4D655AEC"/>
    <w:rsid w:val="4D703987"/>
    <w:rsid w:val="4D741AD1"/>
    <w:rsid w:val="4D77020C"/>
    <w:rsid w:val="4D8B3589"/>
    <w:rsid w:val="4D934C4F"/>
    <w:rsid w:val="4D9A7C5A"/>
    <w:rsid w:val="4D9E48F7"/>
    <w:rsid w:val="4DA37A34"/>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C503B"/>
    <w:rsid w:val="4ECD1297"/>
    <w:rsid w:val="4ECD2C07"/>
    <w:rsid w:val="4ED6095D"/>
    <w:rsid w:val="4EE227C4"/>
    <w:rsid w:val="4EE47D2F"/>
    <w:rsid w:val="4EFE081A"/>
    <w:rsid w:val="4F0C1F5E"/>
    <w:rsid w:val="4F1B1FFF"/>
    <w:rsid w:val="4F264A08"/>
    <w:rsid w:val="4F26538F"/>
    <w:rsid w:val="4F3D6FFC"/>
    <w:rsid w:val="4F5705EC"/>
    <w:rsid w:val="4F690BE3"/>
    <w:rsid w:val="4F6B375C"/>
    <w:rsid w:val="4F8171C9"/>
    <w:rsid w:val="4F907293"/>
    <w:rsid w:val="4FB65C53"/>
    <w:rsid w:val="4FBC3BA6"/>
    <w:rsid w:val="4FC45B4C"/>
    <w:rsid w:val="4FCA798C"/>
    <w:rsid w:val="4FCE118C"/>
    <w:rsid w:val="4FF13487"/>
    <w:rsid w:val="50102C95"/>
    <w:rsid w:val="50167F78"/>
    <w:rsid w:val="502C2DCE"/>
    <w:rsid w:val="50464BF4"/>
    <w:rsid w:val="504A1258"/>
    <w:rsid w:val="504B57C3"/>
    <w:rsid w:val="504D365B"/>
    <w:rsid w:val="506047DC"/>
    <w:rsid w:val="50642376"/>
    <w:rsid w:val="506B2D33"/>
    <w:rsid w:val="506C76D4"/>
    <w:rsid w:val="507E6AE8"/>
    <w:rsid w:val="50A05849"/>
    <w:rsid w:val="50A606C1"/>
    <w:rsid w:val="50A75E36"/>
    <w:rsid w:val="50B00FFE"/>
    <w:rsid w:val="50B01BC9"/>
    <w:rsid w:val="50D00CA9"/>
    <w:rsid w:val="51030081"/>
    <w:rsid w:val="51035DBC"/>
    <w:rsid w:val="51076E21"/>
    <w:rsid w:val="51161A3F"/>
    <w:rsid w:val="511F042A"/>
    <w:rsid w:val="512E568B"/>
    <w:rsid w:val="51413EBF"/>
    <w:rsid w:val="514A3712"/>
    <w:rsid w:val="5156539D"/>
    <w:rsid w:val="515B414E"/>
    <w:rsid w:val="515C2F59"/>
    <w:rsid w:val="516813AA"/>
    <w:rsid w:val="5177229C"/>
    <w:rsid w:val="518F2042"/>
    <w:rsid w:val="51C8335D"/>
    <w:rsid w:val="51E82002"/>
    <w:rsid w:val="51FE5D49"/>
    <w:rsid w:val="521E1B03"/>
    <w:rsid w:val="522945D9"/>
    <w:rsid w:val="522D64FA"/>
    <w:rsid w:val="522F2A4F"/>
    <w:rsid w:val="52333CAC"/>
    <w:rsid w:val="52700369"/>
    <w:rsid w:val="52774BF4"/>
    <w:rsid w:val="527C4797"/>
    <w:rsid w:val="528805F5"/>
    <w:rsid w:val="52D45846"/>
    <w:rsid w:val="52DB243D"/>
    <w:rsid w:val="52FE6B8B"/>
    <w:rsid w:val="53071CE8"/>
    <w:rsid w:val="530B05E5"/>
    <w:rsid w:val="53136554"/>
    <w:rsid w:val="53233D0E"/>
    <w:rsid w:val="532A3DB5"/>
    <w:rsid w:val="5391068B"/>
    <w:rsid w:val="53A305A4"/>
    <w:rsid w:val="53C35639"/>
    <w:rsid w:val="53D8481F"/>
    <w:rsid w:val="53DE6732"/>
    <w:rsid w:val="53EB57A6"/>
    <w:rsid w:val="53FC59E4"/>
    <w:rsid w:val="54005110"/>
    <w:rsid w:val="54063C99"/>
    <w:rsid w:val="540674FE"/>
    <w:rsid w:val="540E4F0E"/>
    <w:rsid w:val="54102A0E"/>
    <w:rsid w:val="5411192B"/>
    <w:rsid w:val="541A0852"/>
    <w:rsid w:val="54281F1B"/>
    <w:rsid w:val="542A702A"/>
    <w:rsid w:val="5440484D"/>
    <w:rsid w:val="54436D03"/>
    <w:rsid w:val="544A1827"/>
    <w:rsid w:val="54585D1F"/>
    <w:rsid w:val="54861FC1"/>
    <w:rsid w:val="54886DD5"/>
    <w:rsid w:val="549A68BF"/>
    <w:rsid w:val="54A36B8D"/>
    <w:rsid w:val="54B17058"/>
    <w:rsid w:val="54C16732"/>
    <w:rsid w:val="54C314A7"/>
    <w:rsid w:val="54D27C4A"/>
    <w:rsid w:val="54DF5E53"/>
    <w:rsid w:val="54E414A2"/>
    <w:rsid w:val="54F040B1"/>
    <w:rsid w:val="54FA3657"/>
    <w:rsid w:val="54FB416F"/>
    <w:rsid w:val="55362516"/>
    <w:rsid w:val="553651A8"/>
    <w:rsid w:val="5547445B"/>
    <w:rsid w:val="55512E3A"/>
    <w:rsid w:val="555D2DB9"/>
    <w:rsid w:val="557B63B7"/>
    <w:rsid w:val="5582413E"/>
    <w:rsid w:val="55955512"/>
    <w:rsid w:val="55A2710F"/>
    <w:rsid w:val="55AC29D7"/>
    <w:rsid w:val="55B064A3"/>
    <w:rsid w:val="55D56B6C"/>
    <w:rsid w:val="55D96CF0"/>
    <w:rsid w:val="55DD10D2"/>
    <w:rsid w:val="55E9298D"/>
    <w:rsid w:val="55EA7AD1"/>
    <w:rsid w:val="55FE00E0"/>
    <w:rsid w:val="56127657"/>
    <w:rsid w:val="56133934"/>
    <w:rsid w:val="561D2F6A"/>
    <w:rsid w:val="56342933"/>
    <w:rsid w:val="56361C21"/>
    <w:rsid w:val="564404C9"/>
    <w:rsid w:val="564A1FBA"/>
    <w:rsid w:val="565323AA"/>
    <w:rsid w:val="566009A0"/>
    <w:rsid w:val="56AA70EF"/>
    <w:rsid w:val="56CC5BDD"/>
    <w:rsid w:val="56D03D28"/>
    <w:rsid w:val="56D77089"/>
    <w:rsid w:val="56F41410"/>
    <w:rsid w:val="57104A3D"/>
    <w:rsid w:val="5718209F"/>
    <w:rsid w:val="571A0928"/>
    <w:rsid w:val="572255CB"/>
    <w:rsid w:val="574F11B7"/>
    <w:rsid w:val="575A7886"/>
    <w:rsid w:val="57616078"/>
    <w:rsid w:val="5790546F"/>
    <w:rsid w:val="57913CD7"/>
    <w:rsid w:val="57CA5285"/>
    <w:rsid w:val="57D145E5"/>
    <w:rsid w:val="57EA44D3"/>
    <w:rsid w:val="57ED7938"/>
    <w:rsid w:val="58103DEF"/>
    <w:rsid w:val="583C1933"/>
    <w:rsid w:val="5856337E"/>
    <w:rsid w:val="58596ECD"/>
    <w:rsid w:val="587454D1"/>
    <w:rsid w:val="58795633"/>
    <w:rsid w:val="58A23C06"/>
    <w:rsid w:val="58A72693"/>
    <w:rsid w:val="58A90B36"/>
    <w:rsid w:val="58D22358"/>
    <w:rsid w:val="59040F4C"/>
    <w:rsid w:val="591813FB"/>
    <w:rsid w:val="59207489"/>
    <w:rsid w:val="59316E48"/>
    <w:rsid w:val="5937759D"/>
    <w:rsid w:val="594B4634"/>
    <w:rsid w:val="595032DA"/>
    <w:rsid w:val="595324CC"/>
    <w:rsid w:val="59933947"/>
    <w:rsid w:val="59AC19B3"/>
    <w:rsid w:val="59B44E87"/>
    <w:rsid w:val="59CB6D7C"/>
    <w:rsid w:val="59D9044C"/>
    <w:rsid w:val="59DA674E"/>
    <w:rsid w:val="59DB6105"/>
    <w:rsid w:val="59DD1A96"/>
    <w:rsid w:val="59E672E5"/>
    <w:rsid w:val="5A1522D8"/>
    <w:rsid w:val="5A165BAE"/>
    <w:rsid w:val="5A24278F"/>
    <w:rsid w:val="5A290F7B"/>
    <w:rsid w:val="5A420389"/>
    <w:rsid w:val="5A472FB1"/>
    <w:rsid w:val="5A704058"/>
    <w:rsid w:val="5A7E4377"/>
    <w:rsid w:val="5A89003F"/>
    <w:rsid w:val="5A8A4558"/>
    <w:rsid w:val="5AA943E6"/>
    <w:rsid w:val="5AF6183A"/>
    <w:rsid w:val="5AFF190A"/>
    <w:rsid w:val="5AFF2532"/>
    <w:rsid w:val="5B0E5D45"/>
    <w:rsid w:val="5B12538F"/>
    <w:rsid w:val="5B1530F0"/>
    <w:rsid w:val="5B2415DA"/>
    <w:rsid w:val="5B3B19B2"/>
    <w:rsid w:val="5B4361D3"/>
    <w:rsid w:val="5B4D3854"/>
    <w:rsid w:val="5B5A0335"/>
    <w:rsid w:val="5B792D6C"/>
    <w:rsid w:val="5B7E2713"/>
    <w:rsid w:val="5B8E404D"/>
    <w:rsid w:val="5B91762B"/>
    <w:rsid w:val="5BC01855"/>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56E3C"/>
    <w:rsid w:val="5D49765E"/>
    <w:rsid w:val="5D5B5956"/>
    <w:rsid w:val="5D6F3C7C"/>
    <w:rsid w:val="5D8613D4"/>
    <w:rsid w:val="5D8C2D46"/>
    <w:rsid w:val="5DCA5580"/>
    <w:rsid w:val="5DCD2079"/>
    <w:rsid w:val="5DDD4995"/>
    <w:rsid w:val="5DE82216"/>
    <w:rsid w:val="5DFE3FE2"/>
    <w:rsid w:val="5E005379"/>
    <w:rsid w:val="5E2171EF"/>
    <w:rsid w:val="5E232D7A"/>
    <w:rsid w:val="5E560FB6"/>
    <w:rsid w:val="5E56557C"/>
    <w:rsid w:val="5E5D4401"/>
    <w:rsid w:val="5E7A57FD"/>
    <w:rsid w:val="5E985848"/>
    <w:rsid w:val="5EA04954"/>
    <w:rsid w:val="5EB14324"/>
    <w:rsid w:val="5EBA3C05"/>
    <w:rsid w:val="5EDF7EA9"/>
    <w:rsid w:val="5EE02631"/>
    <w:rsid w:val="5EED164A"/>
    <w:rsid w:val="5F0B0AFE"/>
    <w:rsid w:val="5F2E6AC2"/>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0117"/>
    <w:rsid w:val="604757D7"/>
    <w:rsid w:val="60563E8E"/>
    <w:rsid w:val="60582C79"/>
    <w:rsid w:val="60630E69"/>
    <w:rsid w:val="606D3129"/>
    <w:rsid w:val="60703D0B"/>
    <w:rsid w:val="60843EC3"/>
    <w:rsid w:val="608A0914"/>
    <w:rsid w:val="60AD7B34"/>
    <w:rsid w:val="60AE3615"/>
    <w:rsid w:val="60EA0B47"/>
    <w:rsid w:val="60EA44B6"/>
    <w:rsid w:val="61110B23"/>
    <w:rsid w:val="611500EE"/>
    <w:rsid w:val="612F14FB"/>
    <w:rsid w:val="61312810"/>
    <w:rsid w:val="6155058B"/>
    <w:rsid w:val="615F47EF"/>
    <w:rsid w:val="6173119D"/>
    <w:rsid w:val="617763C4"/>
    <w:rsid w:val="61802B66"/>
    <w:rsid w:val="618322DB"/>
    <w:rsid w:val="618E53ED"/>
    <w:rsid w:val="619B1FF1"/>
    <w:rsid w:val="61AF7A75"/>
    <w:rsid w:val="61B554A7"/>
    <w:rsid w:val="61B67F5C"/>
    <w:rsid w:val="61B75105"/>
    <w:rsid w:val="61C24836"/>
    <w:rsid w:val="61CA26DF"/>
    <w:rsid w:val="61DC51CB"/>
    <w:rsid w:val="61E84258"/>
    <w:rsid w:val="62016C80"/>
    <w:rsid w:val="62072592"/>
    <w:rsid w:val="62120AF1"/>
    <w:rsid w:val="62152ED9"/>
    <w:rsid w:val="62346586"/>
    <w:rsid w:val="623B44E5"/>
    <w:rsid w:val="62470AE4"/>
    <w:rsid w:val="625642FC"/>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572228"/>
    <w:rsid w:val="64845637"/>
    <w:rsid w:val="64913ECE"/>
    <w:rsid w:val="64A85618"/>
    <w:rsid w:val="64A902DB"/>
    <w:rsid w:val="64B950C7"/>
    <w:rsid w:val="64ED11A3"/>
    <w:rsid w:val="64FA5D08"/>
    <w:rsid w:val="65144ACD"/>
    <w:rsid w:val="65183542"/>
    <w:rsid w:val="65254108"/>
    <w:rsid w:val="653035FF"/>
    <w:rsid w:val="65424C34"/>
    <w:rsid w:val="654474D9"/>
    <w:rsid w:val="65666CB5"/>
    <w:rsid w:val="6571115B"/>
    <w:rsid w:val="659171A2"/>
    <w:rsid w:val="65AF61B9"/>
    <w:rsid w:val="65D0216D"/>
    <w:rsid w:val="65EB103A"/>
    <w:rsid w:val="65F10BAA"/>
    <w:rsid w:val="65FF7A5D"/>
    <w:rsid w:val="6607216D"/>
    <w:rsid w:val="662618D2"/>
    <w:rsid w:val="66287E04"/>
    <w:rsid w:val="662A0A22"/>
    <w:rsid w:val="66545FB7"/>
    <w:rsid w:val="665F0D15"/>
    <w:rsid w:val="666A2C4D"/>
    <w:rsid w:val="66715B63"/>
    <w:rsid w:val="6689509E"/>
    <w:rsid w:val="669725E0"/>
    <w:rsid w:val="66B73A6C"/>
    <w:rsid w:val="66BA3A61"/>
    <w:rsid w:val="66BB4713"/>
    <w:rsid w:val="66BB526C"/>
    <w:rsid w:val="66D31C11"/>
    <w:rsid w:val="66E649C8"/>
    <w:rsid w:val="6712269B"/>
    <w:rsid w:val="67181A17"/>
    <w:rsid w:val="67413765"/>
    <w:rsid w:val="674D439E"/>
    <w:rsid w:val="67610C4E"/>
    <w:rsid w:val="6761460C"/>
    <w:rsid w:val="67785704"/>
    <w:rsid w:val="67834883"/>
    <w:rsid w:val="679D3830"/>
    <w:rsid w:val="679F771F"/>
    <w:rsid w:val="67AA384D"/>
    <w:rsid w:val="67C40649"/>
    <w:rsid w:val="67CC5A5E"/>
    <w:rsid w:val="67CF374B"/>
    <w:rsid w:val="67FE7D96"/>
    <w:rsid w:val="68000388"/>
    <w:rsid w:val="68171831"/>
    <w:rsid w:val="68183F44"/>
    <w:rsid w:val="681C643E"/>
    <w:rsid w:val="68206041"/>
    <w:rsid w:val="6821321A"/>
    <w:rsid w:val="6843281D"/>
    <w:rsid w:val="68433ABE"/>
    <w:rsid w:val="68433B50"/>
    <w:rsid w:val="684515AB"/>
    <w:rsid w:val="68530C7A"/>
    <w:rsid w:val="685356F0"/>
    <w:rsid w:val="68807B0C"/>
    <w:rsid w:val="68872373"/>
    <w:rsid w:val="688D70D6"/>
    <w:rsid w:val="68942691"/>
    <w:rsid w:val="689D1BE6"/>
    <w:rsid w:val="68A248A7"/>
    <w:rsid w:val="68AB5639"/>
    <w:rsid w:val="68D6023A"/>
    <w:rsid w:val="68E034C5"/>
    <w:rsid w:val="68F32A65"/>
    <w:rsid w:val="68F77F6B"/>
    <w:rsid w:val="690523C1"/>
    <w:rsid w:val="690C7551"/>
    <w:rsid w:val="69142594"/>
    <w:rsid w:val="691902EB"/>
    <w:rsid w:val="692C512B"/>
    <w:rsid w:val="692E47E6"/>
    <w:rsid w:val="693C4905"/>
    <w:rsid w:val="69464A78"/>
    <w:rsid w:val="69636AB2"/>
    <w:rsid w:val="696A08B9"/>
    <w:rsid w:val="6971099E"/>
    <w:rsid w:val="69790ECA"/>
    <w:rsid w:val="69BA0F08"/>
    <w:rsid w:val="69BA35B5"/>
    <w:rsid w:val="69C602E1"/>
    <w:rsid w:val="69D151A9"/>
    <w:rsid w:val="69D32AD4"/>
    <w:rsid w:val="69FA61DE"/>
    <w:rsid w:val="6A0201EC"/>
    <w:rsid w:val="6A0C4483"/>
    <w:rsid w:val="6A2461D5"/>
    <w:rsid w:val="6A294A00"/>
    <w:rsid w:val="6A2B0AC4"/>
    <w:rsid w:val="6A2B58FC"/>
    <w:rsid w:val="6A2F1121"/>
    <w:rsid w:val="6A322910"/>
    <w:rsid w:val="6A322D80"/>
    <w:rsid w:val="6A332E57"/>
    <w:rsid w:val="6A710F26"/>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B66AF9"/>
    <w:rsid w:val="6CC10622"/>
    <w:rsid w:val="6CD073E9"/>
    <w:rsid w:val="6CE12F2B"/>
    <w:rsid w:val="6CE53BE5"/>
    <w:rsid w:val="6CEA6D6E"/>
    <w:rsid w:val="6CFA1CED"/>
    <w:rsid w:val="6D1B4046"/>
    <w:rsid w:val="6D2D3F67"/>
    <w:rsid w:val="6D420531"/>
    <w:rsid w:val="6D4E126B"/>
    <w:rsid w:val="6D4F47B2"/>
    <w:rsid w:val="6D517AC5"/>
    <w:rsid w:val="6D55049A"/>
    <w:rsid w:val="6D5F4A55"/>
    <w:rsid w:val="6D7A5BD4"/>
    <w:rsid w:val="6D7E5E09"/>
    <w:rsid w:val="6D8112D8"/>
    <w:rsid w:val="6D9A49F8"/>
    <w:rsid w:val="6DA00095"/>
    <w:rsid w:val="6DA97346"/>
    <w:rsid w:val="6DB209DD"/>
    <w:rsid w:val="6DF16EBC"/>
    <w:rsid w:val="6DF50787"/>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EE648B6"/>
    <w:rsid w:val="6F306C0B"/>
    <w:rsid w:val="6F577DEC"/>
    <w:rsid w:val="6F5A7C06"/>
    <w:rsid w:val="6F9221E1"/>
    <w:rsid w:val="6F9240A7"/>
    <w:rsid w:val="6FA56E12"/>
    <w:rsid w:val="6FBE410D"/>
    <w:rsid w:val="6FC21D07"/>
    <w:rsid w:val="6FC36FAE"/>
    <w:rsid w:val="6FCB1761"/>
    <w:rsid w:val="6FF775D8"/>
    <w:rsid w:val="70080B49"/>
    <w:rsid w:val="701760CA"/>
    <w:rsid w:val="702511F2"/>
    <w:rsid w:val="702F5C52"/>
    <w:rsid w:val="70516D08"/>
    <w:rsid w:val="705C4A9B"/>
    <w:rsid w:val="708648C1"/>
    <w:rsid w:val="709B4FEE"/>
    <w:rsid w:val="70BC4CE3"/>
    <w:rsid w:val="70C522B8"/>
    <w:rsid w:val="70CE62E8"/>
    <w:rsid w:val="70D71CE7"/>
    <w:rsid w:val="70E57EED"/>
    <w:rsid w:val="70F204BB"/>
    <w:rsid w:val="7101308B"/>
    <w:rsid w:val="711166D3"/>
    <w:rsid w:val="71210F45"/>
    <w:rsid w:val="71216BBE"/>
    <w:rsid w:val="71233B0F"/>
    <w:rsid w:val="71392ADD"/>
    <w:rsid w:val="713A031A"/>
    <w:rsid w:val="714C357F"/>
    <w:rsid w:val="714F23B7"/>
    <w:rsid w:val="71616D30"/>
    <w:rsid w:val="716561CD"/>
    <w:rsid w:val="71734624"/>
    <w:rsid w:val="718940F5"/>
    <w:rsid w:val="719344DF"/>
    <w:rsid w:val="719A3020"/>
    <w:rsid w:val="71A77563"/>
    <w:rsid w:val="71AD2C10"/>
    <w:rsid w:val="71C40399"/>
    <w:rsid w:val="71CA4784"/>
    <w:rsid w:val="71CD080B"/>
    <w:rsid w:val="71D05B92"/>
    <w:rsid w:val="71D240B7"/>
    <w:rsid w:val="71D64B5A"/>
    <w:rsid w:val="71D747A4"/>
    <w:rsid w:val="71F276F2"/>
    <w:rsid w:val="71FB6CDF"/>
    <w:rsid w:val="71FE4545"/>
    <w:rsid w:val="720D770C"/>
    <w:rsid w:val="72142993"/>
    <w:rsid w:val="72143476"/>
    <w:rsid w:val="7214603B"/>
    <w:rsid w:val="721C5CD7"/>
    <w:rsid w:val="72474D5B"/>
    <w:rsid w:val="725D3E8F"/>
    <w:rsid w:val="728E3DEF"/>
    <w:rsid w:val="729A7706"/>
    <w:rsid w:val="72BF16C7"/>
    <w:rsid w:val="72CB48E3"/>
    <w:rsid w:val="72CC236B"/>
    <w:rsid w:val="72D4746A"/>
    <w:rsid w:val="730A1682"/>
    <w:rsid w:val="730E0699"/>
    <w:rsid w:val="732C523D"/>
    <w:rsid w:val="735416EA"/>
    <w:rsid w:val="73757D48"/>
    <w:rsid w:val="737A28E0"/>
    <w:rsid w:val="73917418"/>
    <w:rsid w:val="739865C5"/>
    <w:rsid w:val="73A048F6"/>
    <w:rsid w:val="73A52CB0"/>
    <w:rsid w:val="73A80B8D"/>
    <w:rsid w:val="73F23E56"/>
    <w:rsid w:val="73F71354"/>
    <w:rsid w:val="73F73F60"/>
    <w:rsid w:val="74135691"/>
    <w:rsid w:val="74173A6B"/>
    <w:rsid w:val="741E308D"/>
    <w:rsid w:val="74272B18"/>
    <w:rsid w:val="7457003A"/>
    <w:rsid w:val="745E3C7C"/>
    <w:rsid w:val="74611966"/>
    <w:rsid w:val="74664C1D"/>
    <w:rsid w:val="74692974"/>
    <w:rsid w:val="74811246"/>
    <w:rsid w:val="74954C38"/>
    <w:rsid w:val="74962DFC"/>
    <w:rsid w:val="74A64C94"/>
    <w:rsid w:val="74A92116"/>
    <w:rsid w:val="74B65240"/>
    <w:rsid w:val="74D41C94"/>
    <w:rsid w:val="74E9533D"/>
    <w:rsid w:val="7520663B"/>
    <w:rsid w:val="75281878"/>
    <w:rsid w:val="75387B50"/>
    <w:rsid w:val="75446734"/>
    <w:rsid w:val="75564A84"/>
    <w:rsid w:val="75613F6E"/>
    <w:rsid w:val="75760E38"/>
    <w:rsid w:val="75837E1A"/>
    <w:rsid w:val="75954983"/>
    <w:rsid w:val="75A0491B"/>
    <w:rsid w:val="75AE1F7F"/>
    <w:rsid w:val="75C1589D"/>
    <w:rsid w:val="75E26EA2"/>
    <w:rsid w:val="75E65F0E"/>
    <w:rsid w:val="75F4403B"/>
    <w:rsid w:val="76234FBD"/>
    <w:rsid w:val="762F2878"/>
    <w:rsid w:val="76372533"/>
    <w:rsid w:val="76556325"/>
    <w:rsid w:val="768B499F"/>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1B5B08"/>
    <w:rsid w:val="783114E8"/>
    <w:rsid w:val="783E2906"/>
    <w:rsid w:val="78664FF9"/>
    <w:rsid w:val="78766B17"/>
    <w:rsid w:val="78795438"/>
    <w:rsid w:val="787F7A82"/>
    <w:rsid w:val="78823541"/>
    <w:rsid w:val="78892803"/>
    <w:rsid w:val="78A12C82"/>
    <w:rsid w:val="78A91FA6"/>
    <w:rsid w:val="78B16E04"/>
    <w:rsid w:val="78B7761F"/>
    <w:rsid w:val="78B96740"/>
    <w:rsid w:val="78BA5BB8"/>
    <w:rsid w:val="78C229A7"/>
    <w:rsid w:val="78C67999"/>
    <w:rsid w:val="78DF72B3"/>
    <w:rsid w:val="78E50124"/>
    <w:rsid w:val="79344821"/>
    <w:rsid w:val="79450FB2"/>
    <w:rsid w:val="796E03CF"/>
    <w:rsid w:val="796E2740"/>
    <w:rsid w:val="7974454E"/>
    <w:rsid w:val="797647B8"/>
    <w:rsid w:val="797818F0"/>
    <w:rsid w:val="79A12715"/>
    <w:rsid w:val="79B67E16"/>
    <w:rsid w:val="79BD19D0"/>
    <w:rsid w:val="79BE3086"/>
    <w:rsid w:val="79DA72C4"/>
    <w:rsid w:val="79FC47C6"/>
    <w:rsid w:val="79FE3DE8"/>
    <w:rsid w:val="7A0626C9"/>
    <w:rsid w:val="7A0F6C93"/>
    <w:rsid w:val="7A182932"/>
    <w:rsid w:val="7A1F18FB"/>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A2109F"/>
    <w:rsid w:val="7BB522D3"/>
    <w:rsid w:val="7BC00F8B"/>
    <w:rsid w:val="7BC8200B"/>
    <w:rsid w:val="7BD74373"/>
    <w:rsid w:val="7BE67A95"/>
    <w:rsid w:val="7BF93ECC"/>
    <w:rsid w:val="7C09224C"/>
    <w:rsid w:val="7C117B2E"/>
    <w:rsid w:val="7C165B89"/>
    <w:rsid w:val="7C1C3059"/>
    <w:rsid w:val="7C213D9A"/>
    <w:rsid w:val="7C282F0F"/>
    <w:rsid w:val="7C2A682C"/>
    <w:rsid w:val="7C2C127F"/>
    <w:rsid w:val="7C307E7A"/>
    <w:rsid w:val="7C4B5923"/>
    <w:rsid w:val="7C63472B"/>
    <w:rsid w:val="7C66300A"/>
    <w:rsid w:val="7C74695B"/>
    <w:rsid w:val="7C872CDF"/>
    <w:rsid w:val="7CBB32B2"/>
    <w:rsid w:val="7CC534AE"/>
    <w:rsid w:val="7CC73207"/>
    <w:rsid w:val="7CF701A8"/>
    <w:rsid w:val="7CFF5B12"/>
    <w:rsid w:val="7D07000E"/>
    <w:rsid w:val="7D111D21"/>
    <w:rsid w:val="7D2339F7"/>
    <w:rsid w:val="7D252E0E"/>
    <w:rsid w:val="7D573759"/>
    <w:rsid w:val="7D6B0B1A"/>
    <w:rsid w:val="7D7F1AE4"/>
    <w:rsid w:val="7D8001BC"/>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6F469A"/>
    <w:rsid w:val="7E703192"/>
    <w:rsid w:val="7E7907D9"/>
    <w:rsid w:val="7E926A36"/>
    <w:rsid w:val="7EA8480C"/>
    <w:rsid w:val="7EC93AF7"/>
    <w:rsid w:val="7EF41C3E"/>
    <w:rsid w:val="7EF62BCD"/>
    <w:rsid w:val="7F171C2E"/>
    <w:rsid w:val="7F1D7B4E"/>
    <w:rsid w:val="7F2E1932"/>
    <w:rsid w:val="7F313EA0"/>
    <w:rsid w:val="7F354263"/>
    <w:rsid w:val="7F3D3B71"/>
    <w:rsid w:val="7F4923A2"/>
    <w:rsid w:val="7F71261E"/>
    <w:rsid w:val="7F7F7CD9"/>
    <w:rsid w:val="7FA556D4"/>
    <w:rsid w:val="7FA874D0"/>
    <w:rsid w:val="7FC3097A"/>
    <w:rsid w:val="7FD52148"/>
    <w:rsid w:val="7FD9336C"/>
    <w:rsid w:val="7FE82AE5"/>
    <w:rsid w:val="7FEC340D"/>
    <w:rsid w:val="7FEE125E"/>
    <w:rsid w:val="7FEE5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Pr>
      <w:spacing w:before="120"/>
      <w:outlineLvl w:val="2"/>
    </w:pPr>
  </w:style>
  <w:style w:type="paragraph" w:styleId="5">
    <w:name w:val="heading 4"/>
    <w:basedOn w:val="4"/>
    <w:next w:val="1"/>
    <w:link w:val="24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ind w:left="0" w:firstLine="0"/>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basedOn w:val="121"/>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spacing w:before="0" w:after="240"/>
    </w:pPr>
  </w:style>
  <w:style w:type="paragraph" w:customStyle="1" w:styleId="157">
    <w:name w:val="TH"/>
    <w:basedOn w:val="158"/>
    <w:next w:val="158"/>
    <w:link w:val="223"/>
    <w:qFormat/>
    <w:uiPriority w:val="0"/>
    <w:rPr>
      <w:rFonts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Heading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Body Text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Heading 3 Char"/>
    <w:link w:val="4"/>
    <w:qFormat/>
    <w:uiPriority w:val="0"/>
    <w:rPr>
      <w:rFonts w:ascii="Arial" w:hAnsi="Arial"/>
      <w:sz w:val="28"/>
      <w:szCs w:val="28"/>
      <w:lang w:val="en-GB" w:eastAsia="en-US"/>
    </w:rPr>
  </w:style>
  <w:style w:type="character" w:customStyle="1" w:styleId="226">
    <w:name w:val="Header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Caption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Heading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Heading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h4 Char1"/>
    <w:qFormat/>
    <w:uiPriority w:val="0"/>
    <w:rPr>
      <w:rFonts w:ascii="Arial" w:hAnsi="Arial" w:eastAsia="MS Mincho"/>
      <w:sz w:val="24"/>
      <w:lang w:val="en-GB" w:eastAsia="en-US" w:bidi="ar-SA"/>
    </w:rPr>
  </w:style>
  <w:style w:type="paragraph" w:customStyle="1" w:styleId="251">
    <w:name w:val="Revision"/>
    <w:hidden/>
    <w:semiHidden/>
    <w:qFormat/>
    <w:uiPriority w:val="99"/>
    <w:rPr>
      <w:rFonts w:ascii="Times New Roman" w:hAnsi="Times New Roman" w:eastAsia="MS Mincho" w:cs="Times New Roman"/>
      <w:sz w:val="22"/>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Skyworks</Company>
  <Pages>8</Pages>
  <Words>2480</Words>
  <Characters>14136</Characters>
  <Lines>117</Lines>
  <Paragraphs>33</Paragraphs>
  <TotalTime>5</TotalTime>
  <ScaleCrop>false</ScaleCrop>
  <LinksUpToDate>false</LinksUpToDate>
  <CharactersWithSpaces>16583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2024-05-23T23:41:00Z</dcterms:created>
  <dc:creator>Wubin, Zhou</dc:creator>
  <cp:keywords>3GPP RAN WG4</cp:keywords>
  <cp:lastModifiedBy>ZTE_Rev</cp:lastModifiedBy>
  <cp:lastPrinted>2010-03-26T07:51:00Z</cp:lastPrinted>
  <dcterms:modified xsi:type="dcterms:W3CDTF">2024-05-24T01:47:23Z</dcterms:modified>
  <dc:title>3GPP TSG-RAN WG4</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